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76097">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auto"/>
          <w:sz w:val="32"/>
          <w:szCs w:val="32"/>
          <w:highlight w:val="none"/>
        </w:rPr>
      </w:pPr>
    </w:p>
    <w:p w14:paraId="31E59ED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p>
    <w:p w14:paraId="0F12391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highlight w:val="none"/>
          <w:lang w:val="en-US" w:eastAsia="zh-CN"/>
        </w:rPr>
        <w:t>新疆维吾尔自治区统计调查监测中心</w:t>
      </w:r>
    </w:p>
    <w:p w14:paraId="6D6D25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lang w:eastAsia="zh-CN"/>
        </w:rPr>
        <w:t xml:space="preserve"> 2023年度</w:t>
      </w:r>
      <w:r>
        <w:rPr>
          <w:rFonts w:hint="eastAsia" w:ascii="方正小标宋_GBK" w:hAnsi="宋体" w:eastAsia="方正小标宋_GBK"/>
          <w:color w:val="auto"/>
          <w:sz w:val="44"/>
          <w:szCs w:val="44"/>
          <w:highlight w:val="none"/>
        </w:rPr>
        <w:t>部门决算</w:t>
      </w:r>
    </w:p>
    <w:p w14:paraId="1FE02B8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14:paraId="04ABDFEC">
      <w:pP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br w:type="page"/>
      </w:r>
    </w:p>
    <w:p w14:paraId="310CAFC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6"/>
          <w:szCs w:val="36"/>
          <w:highlight w:val="none"/>
        </w:rPr>
        <w:t>目  录</w:t>
      </w:r>
    </w:p>
    <w:p w14:paraId="46306CF1">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_Toc32314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fldChar w:fldCharType="end"/>
      </w:r>
    </w:p>
    <w:p w14:paraId="6B08C8C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_Toc30567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color w:val="auto"/>
          <w:sz w:val="32"/>
          <w:szCs w:val="32"/>
          <w:highlight w:val="none"/>
        </w:rPr>
        <w:fldChar w:fldCharType="end"/>
      </w:r>
    </w:p>
    <w:p w14:paraId="279B4C0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二、机构设置</w:t>
      </w:r>
      <w:r>
        <w:rPr>
          <w:rFonts w:hint="eastAsia" w:ascii="仿宋_GB2312" w:hAnsi="仿宋_GB2312" w:eastAsia="仿宋_GB2312" w:cs="仿宋_GB2312"/>
          <w:bCs/>
          <w:color w:val="auto"/>
          <w:kern w:val="0"/>
          <w:sz w:val="32"/>
          <w:szCs w:val="32"/>
          <w:highlight w:val="none"/>
          <w:lang w:eastAsia="zh-CN"/>
        </w:rPr>
        <w:t>及人员</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color w:val="auto"/>
          <w:sz w:val="32"/>
          <w:szCs w:val="32"/>
          <w:highlight w:val="none"/>
        </w:rPr>
        <w:fldChar w:fldCharType="end"/>
      </w:r>
    </w:p>
    <w:p w14:paraId="252002AB">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_Toc29374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14:paraId="69B8A81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color w:val="auto"/>
          <w:sz w:val="32"/>
          <w:szCs w:val="32"/>
          <w:highlight w:val="none"/>
        </w:rPr>
        <w:fldChar w:fldCharType="end"/>
      </w:r>
    </w:p>
    <w:p w14:paraId="657A895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_Toc12142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收入</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情况说明</w:t>
      </w:r>
      <w:r>
        <w:rPr>
          <w:rFonts w:hint="eastAsia" w:ascii="仿宋_GB2312" w:hAnsi="仿宋_GB2312" w:eastAsia="仿宋_GB2312" w:cs="仿宋_GB2312"/>
          <w:color w:val="auto"/>
          <w:sz w:val="32"/>
          <w:szCs w:val="32"/>
          <w:highlight w:val="none"/>
        </w:rPr>
        <w:fldChar w:fldCharType="end"/>
      </w:r>
    </w:p>
    <w:p w14:paraId="2610E4A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_Toc13201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三、支出决算情况说明</w:t>
      </w:r>
      <w:r>
        <w:rPr>
          <w:rFonts w:hint="eastAsia" w:ascii="仿宋_GB2312" w:hAnsi="仿宋_GB2312" w:eastAsia="仿宋_GB2312" w:cs="仿宋_GB2312"/>
          <w:color w:val="auto"/>
          <w:sz w:val="32"/>
          <w:szCs w:val="32"/>
          <w:highlight w:val="none"/>
        </w:rPr>
        <w:fldChar w:fldCharType="end"/>
      </w:r>
    </w:p>
    <w:p w14:paraId="224B5F16">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_Toc26564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四、财政拨款收入支出决算总体情况说明</w:t>
      </w:r>
      <w:r>
        <w:rPr>
          <w:rFonts w:hint="eastAsia" w:ascii="仿宋_GB2312" w:hAnsi="仿宋_GB2312" w:eastAsia="仿宋_GB2312" w:cs="仿宋_GB2312"/>
          <w:color w:val="auto"/>
          <w:sz w:val="32"/>
          <w:szCs w:val="32"/>
          <w:highlight w:val="none"/>
        </w:rPr>
        <w:fldChar w:fldCharType="end"/>
      </w:r>
    </w:p>
    <w:p w14:paraId="0EF1DEA0">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五、一般公共预算财政拨款支出决算情况说明</w:t>
      </w:r>
      <w:r>
        <w:rPr>
          <w:rFonts w:hint="eastAsia" w:ascii="仿宋_GB2312" w:hAnsi="仿宋_GB2312" w:eastAsia="仿宋_GB2312" w:cs="仿宋_GB2312"/>
          <w:color w:val="auto"/>
          <w:sz w:val="32"/>
          <w:szCs w:val="32"/>
          <w:highlight w:val="none"/>
        </w:rPr>
        <w:fldChar w:fldCharType="end"/>
      </w:r>
    </w:p>
    <w:p w14:paraId="13AB6C1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_Toc30870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六、一般公共预算财政拨款基本支出决算情况说明</w:t>
      </w:r>
      <w:r>
        <w:rPr>
          <w:rFonts w:hint="eastAsia" w:ascii="仿宋_GB2312" w:hAnsi="仿宋_GB2312" w:eastAsia="仿宋_GB2312" w:cs="仿宋_GB2312"/>
          <w:color w:val="auto"/>
          <w:sz w:val="32"/>
          <w:szCs w:val="32"/>
          <w:highlight w:val="none"/>
        </w:rPr>
        <w:fldChar w:fldCharType="end"/>
      </w:r>
    </w:p>
    <w:p w14:paraId="4DB2B21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财政拨款</w:t>
      </w:r>
      <w:r>
        <w:rPr>
          <w:rFonts w:hint="eastAsia" w:ascii="仿宋_GB2312" w:hAnsi="仿宋_GB2312" w:eastAsia="仿宋_GB2312" w:cs="仿宋_GB2312"/>
          <w:bCs/>
          <w:color w:val="auto"/>
          <w:kern w:val="0"/>
          <w:sz w:val="32"/>
          <w:szCs w:val="32"/>
          <w:highlight w:val="none"/>
        </w:rPr>
        <w:t>“三公”经费支出</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0E05FCC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政府性基金预算财政拨款收入支出决算情况说明</w:t>
      </w:r>
      <w:r>
        <w:rPr>
          <w:rFonts w:hint="eastAsia" w:ascii="仿宋_GB2312" w:hAnsi="仿宋_GB2312" w:eastAsia="仿宋_GB2312" w:cs="仿宋_GB2312"/>
          <w:color w:val="auto"/>
          <w:sz w:val="32"/>
          <w:szCs w:val="32"/>
          <w:highlight w:val="none"/>
        </w:rPr>
        <w:fldChar w:fldCharType="end"/>
      </w:r>
    </w:p>
    <w:p w14:paraId="27A86A82">
      <w:pPr>
        <w:rPr>
          <w:rFonts w:hint="eastAsia"/>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、国有资本经营预算财政拨款收入支出决算情况说明</w:t>
      </w:r>
      <w:r>
        <w:rPr>
          <w:rFonts w:hint="eastAsia" w:ascii="仿宋_GB2312" w:hAnsi="仿宋_GB2312" w:eastAsia="仿宋_GB2312" w:cs="仿宋_GB2312"/>
          <w:color w:val="auto"/>
          <w:sz w:val="32"/>
          <w:szCs w:val="32"/>
          <w:highlight w:val="none"/>
        </w:rPr>
        <w:fldChar w:fldCharType="end"/>
      </w:r>
    </w:p>
    <w:p w14:paraId="27F91D1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Cs/>
          <w:color w:val="auto"/>
          <w:kern w:val="0"/>
          <w:sz w:val="32"/>
          <w:szCs w:val="32"/>
          <w:highlight w:val="none"/>
        </w:rPr>
        <w:t>、其他重要事项的情况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18A1F5EC">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机关运行经费支出情况</w:t>
      </w:r>
      <w:r>
        <w:rPr>
          <w:rFonts w:hint="eastAsia" w:ascii="仿宋_GB2312" w:hAnsi="仿宋_GB2312" w:eastAsia="仿宋_GB2312" w:cs="仿宋_GB2312"/>
          <w:color w:val="auto"/>
          <w:sz w:val="32"/>
          <w:szCs w:val="32"/>
          <w:highlight w:val="none"/>
        </w:rPr>
        <w:fldChar w:fldCharType="end"/>
      </w:r>
    </w:p>
    <w:p w14:paraId="52C30E36">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（二）政府采购情况</w:t>
      </w:r>
      <w:r>
        <w:rPr>
          <w:rFonts w:hint="eastAsia" w:ascii="仿宋_GB2312" w:hAnsi="仿宋_GB2312" w:eastAsia="仿宋_GB2312" w:cs="仿宋_GB2312"/>
          <w:color w:val="auto"/>
          <w:sz w:val="32"/>
          <w:szCs w:val="32"/>
          <w:highlight w:val="none"/>
        </w:rPr>
        <w:fldChar w:fldCharType="end"/>
      </w:r>
    </w:p>
    <w:p w14:paraId="247E4875">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_Toc8391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（三）国有资产占用情况说明</w:t>
      </w:r>
      <w:r>
        <w:rPr>
          <w:rFonts w:hint="eastAsia" w:ascii="仿宋_GB2312" w:hAnsi="仿宋_GB2312" w:eastAsia="仿宋_GB2312" w:cs="仿宋_GB2312"/>
          <w:color w:val="auto"/>
          <w:sz w:val="32"/>
          <w:szCs w:val="32"/>
          <w:highlight w:val="none"/>
        </w:rPr>
        <w:fldChar w:fldCharType="end"/>
      </w:r>
    </w:p>
    <w:p w14:paraId="0FC0157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_Toc11283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十</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、预算绩效的情况说明</w:t>
      </w:r>
      <w:r>
        <w:rPr>
          <w:rFonts w:hint="eastAsia" w:ascii="仿宋_GB2312" w:hAnsi="仿宋_GB2312" w:eastAsia="仿宋_GB2312" w:cs="仿宋_GB2312"/>
          <w:color w:val="auto"/>
          <w:sz w:val="32"/>
          <w:szCs w:val="32"/>
          <w:highlight w:val="none"/>
        </w:rPr>
        <w:fldChar w:fldCharType="end"/>
      </w:r>
    </w:p>
    <w:p w14:paraId="28E0D39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十二、其他需说明的事项</w:t>
      </w:r>
    </w:p>
    <w:p w14:paraId="20C73F61">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_Toc3250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14:paraId="0A126279">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_Toc22784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14:paraId="4A3C263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14:paraId="68C275E6">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_Toc24532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p>
    <w:p w14:paraId="240E755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_Toc32434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p>
    <w:p w14:paraId="09E5E09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p>
    <w:p w14:paraId="24DAEE3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color w:val="auto"/>
          <w:sz w:val="32"/>
          <w:szCs w:val="32"/>
          <w:highlight w:val="none"/>
        </w:rPr>
        <w:fldChar w:fldCharType="end"/>
      </w:r>
    </w:p>
    <w:p w14:paraId="31E76F4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_Toc8884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color w:val="auto"/>
          <w:sz w:val="32"/>
          <w:szCs w:val="32"/>
          <w:highlight w:val="none"/>
        </w:rPr>
        <w:fldChar w:fldCharType="end"/>
      </w:r>
    </w:p>
    <w:p w14:paraId="4E6D04A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color w:val="auto"/>
          <w:sz w:val="32"/>
          <w:szCs w:val="32"/>
          <w:highlight w:val="none"/>
        </w:rPr>
        <w:fldChar w:fldCharType="end"/>
      </w:r>
    </w:p>
    <w:p w14:paraId="631BE8E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\l _Toc7643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14:paraId="079B45D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w:t>
      </w:r>
      <w:r>
        <w:rPr>
          <w:rFonts w:hint="eastAsia" w:ascii="仿宋_GB2312" w:hAnsi="仿宋_GB2312" w:eastAsia="仿宋_GB2312" w:cs="仿宋_GB2312"/>
          <w:bCs/>
          <w:color w:val="auto"/>
          <w:kern w:val="0"/>
          <w:sz w:val="32"/>
          <w:szCs w:val="32"/>
          <w:highlight w:val="none"/>
        </w:rPr>
        <w:t>预算财政拨款收入支出决算表</w:t>
      </w:r>
      <w:r>
        <w:rPr>
          <w:rFonts w:hint="eastAsia" w:ascii="仿宋_GB2312" w:hAnsi="仿宋_GB2312" w:eastAsia="仿宋_GB2312" w:cs="仿宋_GB2312"/>
          <w:bCs/>
          <w:color w:val="auto"/>
          <w:kern w:val="0"/>
          <w:sz w:val="32"/>
          <w:szCs w:val="32"/>
          <w:highlight w:val="none"/>
          <w:lang w:eastAsia="zh-CN"/>
        </w:rPr>
        <w:t>》</w:t>
      </w:r>
    </w:p>
    <w:p w14:paraId="31FB04B2">
      <w:pPr>
        <w:keepNext w:val="0"/>
        <w:keepLines w:val="0"/>
        <w:pageBreakBefore w:val="0"/>
        <w:widowControl w:val="0"/>
        <w:kinsoku/>
        <w:wordWrap/>
        <w:overflowPunct/>
        <w:topLinePunct w:val="0"/>
        <w:autoSpaceDE/>
        <w:autoSpaceDN/>
        <w:bidi w:val="0"/>
        <w:adjustRightInd/>
        <w:snapToGrid/>
        <w:ind w:left="0" w:leftChars="0"/>
        <w:jc w:val="both"/>
        <w:textAlignment w:val="auto"/>
        <w:rPr>
          <w:color w:val="auto"/>
          <w:highlight w:val="none"/>
        </w:rPr>
      </w:pPr>
      <w:r>
        <w:rPr>
          <w:rFonts w:hint="eastAsia" w:ascii="仿宋_GB2312" w:hAnsi="仿宋_GB2312" w:eastAsia="仿宋_GB2312" w:cs="仿宋_GB2312"/>
          <w:color w:val="auto"/>
          <w:sz w:val="32"/>
          <w:szCs w:val="32"/>
          <w:highlight w:val="none"/>
        </w:rPr>
        <w:fldChar w:fldCharType="end"/>
      </w:r>
    </w:p>
    <w:p w14:paraId="5AB4EBDF">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7D904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0" w:name="_Toc24028"/>
      <w:bookmarkStart w:id="1" w:name="_Toc32314"/>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概况</w:t>
      </w:r>
      <w:bookmarkEnd w:id="0"/>
      <w:bookmarkEnd w:id="1"/>
    </w:p>
    <w:p w14:paraId="025D103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auto"/>
          <w:kern w:val="0"/>
          <w:sz w:val="32"/>
          <w:szCs w:val="32"/>
          <w:highlight w:val="none"/>
        </w:rPr>
      </w:pPr>
      <w:bookmarkStart w:id="2" w:name="_Toc30567"/>
      <w:bookmarkStart w:id="3" w:name="_Toc30738"/>
      <w:r>
        <w:rPr>
          <w:rFonts w:hint="eastAsia" w:ascii="黑体" w:hAnsi="黑体" w:eastAsia="黑体" w:cs="宋体"/>
          <w:bCs/>
          <w:color w:val="auto"/>
          <w:kern w:val="0"/>
          <w:sz w:val="32"/>
          <w:szCs w:val="32"/>
          <w:highlight w:val="none"/>
        </w:rPr>
        <w:t>一、主要职能</w:t>
      </w:r>
      <w:bookmarkEnd w:id="2"/>
      <w:bookmarkEnd w:id="3"/>
    </w:p>
    <w:p w14:paraId="6F62987C">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1.保质保量的组织开展城乡居民可支配收入调查、国家安全感调查、企业生产经营催单调查、国家生态环境满意度调查，分县（市）工业品出厂价格指数、居民消费价格指数、景气调查、经济社会重大问题等专项调查。</w:t>
      </w:r>
      <w:r>
        <w:rPr>
          <w:rFonts w:ascii="仿宋_GB2312" w:eastAsia="仿宋_GB2312"/>
          <w:sz w:val="32"/>
          <w:szCs w:val="32"/>
        </w:rPr>
        <w:br w:type="textWrapping"/>
      </w:r>
      <w:r>
        <w:rPr>
          <w:rFonts w:ascii="仿宋_GB2312" w:eastAsia="仿宋_GB2312"/>
          <w:sz w:val="32"/>
          <w:szCs w:val="32"/>
        </w:rPr>
        <w:t>　　2.通过全区统计快速反应调查机制，及时报告全区突发性经济事件和重大经济社会问题；统一指导全区基层统计调查和经济社会调查工作。</w:t>
      </w:r>
      <w:r>
        <w:rPr>
          <w:rFonts w:ascii="仿宋_GB2312" w:eastAsia="仿宋_GB2312"/>
          <w:sz w:val="32"/>
          <w:szCs w:val="32"/>
        </w:rPr>
        <w:br w:type="textWrapping"/>
      </w:r>
      <w:r>
        <w:rPr>
          <w:rFonts w:ascii="仿宋_GB2312" w:eastAsia="仿宋_GB2312"/>
          <w:sz w:val="32"/>
          <w:szCs w:val="32"/>
        </w:rPr>
        <w:t>　　3.加强统计数据解读，按时更新统计内外网统计分析和数据查询信息服务，让社会各界准确及时了解全区经济形势，并向自治区党委、政府及有关部门提供统计信息和咨询建议。</w:t>
      </w:r>
      <w:r>
        <w:rPr>
          <w:rFonts w:ascii="仿宋_GB2312" w:eastAsia="仿宋_GB2312"/>
          <w:sz w:val="32"/>
          <w:szCs w:val="32"/>
        </w:rPr>
        <w:br w:type="textWrapping"/>
      </w:r>
      <w:r>
        <w:rPr>
          <w:rFonts w:ascii="仿宋_GB2312" w:eastAsia="仿宋_GB2312"/>
          <w:sz w:val="32"/>
          <w:szCs w:val="32"/>
        </w:rPr>
        <w:t>　　4.完成自治区统计局交办的其他工作</w:t>
      </w:r>
      <w:r>
        <w:rPr>
          <w:rFonts w:hint="eastAsia" w:ascii="仿宋_GB2312" w:eastAsia="仿宋_GB2312"/>
          <w:sz w:val="32"/>
          <w:szCs w:val="32"/>
        </w:rPr>
        <w:t>。</w:t>
      </w:r>
    </w:p>
    <w:p w14:paraId="39F0D2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14:paraId="57279AB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新疆维吾尔自治区统计调查监测中心</w:t>
      </w:r>
      <w:r>
        <w:rPr>
          <w:rFonts w:hint="eastAsia" w:ascii="仿宋_GB2312" w:eastAsia="仿宋_GB2312"/>
          <w:color w:val="auto"/>
          <w:sz w:val="32"/>
          <w:szCs w:val="32"/>
          <w:highlight w:val="none"/>
          <w:lang w:eastAsia="zh-CN"/>
        </w:rPr>
        <w:t>2023年度，</w:t>
      </w:r>
      <w:r>
        <w:rPr>
          <w:rFonts w:hint="eastAsia" w:ascii="仿宋_GB2312" w:eastAsia="仿宋_GB2312"/>
          <w:color w:val="auto"/>
          <w:sz w:val="32"/>
          <w:szCs w:val="32"/>
          <w:highlight w:val="none"/>
        </w:rPr>
        <w:t>实有人数</w:t>
      </w:r>
      <w:r>
        <w:rPr>
          <w:rFonts w:hint="eastAsia" w:ascii="仿宋_GB2312" w:eastAsia="仿宋_GB2312"/>
          <w:color w:val="auto"/>
          <w:sz w:val="32"/>
          <w:szCs w:val="32"/>
          <w:highlight w:val="none"/>
          <w:lang w:val="zh-CN" w:eastAsia="zh-CN"/>
        </w:rPr>
        <w:t>101</w:t>
      </w:r>
      <w:r>
        <w:rPr>
          <w:rFonts w:hint="eastAsia" w:ascii="仿宋_GB2312" w:eastAsia="仿宋_GB2312"/>
          <w:color w:val="auto"/>
          <w:sz w:val="32"/>
          <w:szCs w:val="32"/>
          <w:highlight w:val="none"/>
        </w:rPr>
        <w:t>人，其中：在职人员</w:t>
      </w:r>
      <w:r>
        <w:rPr>
          <w:rFonts w:hint="eastAsia" w:ascii="仿宋_GB2312" w:eastAsia="仿宋_GB2312"/>
          <w:color w:val="auto"/>
          <w:sz w:val="32"/>
          <w:szCs w:val="32"/>
          <w:highlight w:val="none"/>
          <w:lang w:val="zh-CN" w:eastAsia="zh-CN"/>
        </w:rPr>
        <w:t>72</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离休人员</w:t>
      </w:r>
      <w:r>
        <w:rPr>
          <w:rFonts w:hint="eastAsia" w:ascii="仿宋_GB2312" w:eastAsia="仿宋_GB2312"/>
          <w:color w:val="auto"/>
          <w:sz w:val="32"/>
          <w:szCs w:val="32"/>
          <w:highlight w:val="none"/>
          <w:lang w:val="zh-CN" w:eastAsia="zh-CN"/>
        </w:rPr>
        <w:t>0</w:t>
      </w:r>
      <w:r>
        <w:rPr>
          <w:rFonts w:hint="eastAsia" w:ascii="仿宋_GB2312" w:eastAsia="仿宋_GB2312"/>
          <w:color w:val="auto"/>
          <w:sz w:val="32"/>
          <w:szCs w:val="32"/>
          <w:highlight w:val="none"/>
        </w:rPr>
        <w:t>人，退休人员</w:t>
      </w:r>
      <w:r>
        <w:rPr>
          <w:rFonts w:hint="eastAsia" w:ascii="仿宋_GB2312" w:eastAsia="仿宋_GB2312"/>
          <w:color w:val="auto"/>
          <w:sz w:val="32"/>
          <w:szCs w:val="32"/>
          <w:highlight w:val="none"/>
          <w:lang w:val="zh-CN" w:eastAsia="zh-CN"/>
        </w:rPr>
        <w:t>29</w:t>
      </w:r>
      <w:r>
        <w:rPr>
          <w:rFonts w:hint="eastAsia" w:ascii="仿宋_GB2312" w:eastAsia="仿宋_GB2312"/>
          <w:color w:val="auto"/>
          <w:sz w:val="32"/>
          <w:szCs w:val="32"/>
          <w:highlight w:val="none"/>
        </w:rPr>
        <w:t>人。</w:t>
      </w:r>
    </w:p>
    <w:p w14:paraId="54AE452E">
      <w:pPr>
        <w:ind w:firstLine="640" w:firstLineChars="200"/>
        <w:rPr>
          <w:rFonts w:hint="eastAsia" w:ascii="仿宋_GB2312" w:eastAsia="仿宋_GB2312"/>
          <w:color w:val="auto"/>
          <w:sz w:val="32"/>
          <w:szCs w:val="32"/>
          <w:highlight w:val="none"/>
        </w:rPr>
      </w:pP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4</w:t>
      </w:r>
      <w:r>
        <w:rPr>
          <w:rFonts w:hint="eastAsia" w:ascii="仿宋_GB2312" w:hAnsi="黑体" w:eastAsia="仿宋_GB2312" w:cs="宋体"/>
          <w:bCs/>
          <w:kern w:val="0"/>
          <w:sz w:val="32"/>
          <w:szCs w:val="32"/>
        </w:rPr>
        <w:t>个处室，分别是：综合处、经济社会调查处、城乡住户调查处、统计监测处</w:t>
      </w:r>
      <w:r>
        <w:rPr>
          <w:rFonts w:hint="eastAsia" w:ascii="仿宋_GB2312" w:hAnsi="宋体" w:eastAsia="仿宋_GB2312" w:cs="宋体"/>
          <w:kern w:val="0"/>
          <w:sz w:val="32"/>
          <w:szCs w:val="32"/>
        </w:rPr>
        <w:t>。</w:t>
      </w:r>
    </w:p>
    <w:p w14:paraId="523A15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6" w:name="_Toc29374"/>
      <w:bookmarkStart w:id="7" w:name="_Toc3092"/>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部分 部门决算情况说明</w:t>
      </w:r>
      <w:bookmarkEnd w:id="6"/>
      <w:bookmarkEnd w:id="7"/>
    </w:p>
    <w:p w14:paraId="5E6396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8" w:name="_Toc12566"/>
      <w:bookmarkStart w:id="9" w:name="_Toc25314"/>
      <w:r>
        <w:rPr>
          <w:rFonts w:hint="eastAsia" w:ascii="黑体" w:hAnsi="黑体" w:eastAsia="黑体" w:cs="宋体"/>
          <w:bCs/>
          <w:color w:val="auto"/>
          <w:kern w:val="0"/>
          <w:sz w:val="32"/>
          <w:szCs w:val="32"/>
          <w:highlight w:val="none"/>
        </w:rPr>
        <w:t>一、收入支出决算总体情况说明</w:t>
      </w:r>
      <w:bookmarkEnd w:id="8"/>
      <w:bookmarkEnd w:id="9"/>
    </w:p>
    <w:p w14:paraId="74666C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pacing w:val="0"/>
          <w:sz w:val="32"/>
          <w:szCs w:val="32"/>
          <w:highlight w:val="none"/>
          <w:lang w:val="en-US" w:eastAsia="zh-CN"/>
        </w:rPr>
        <w:t>收入总计</w:t>
      </w:r>
      <w:r>
        <w:rPr>
          <w:rFonts w:hint="eastAsia" w:ascii="仿宋_GB2312" w:eastAsia="仿宋_GB2312"/>
          <w:color w:val="auto"/>
          <w:spacing w:val="0"/>
          <w:sz w:val="32"/>
          <w:szCs w:val="32"/>
          <w:highlight w:val="none"/>
          <w:lang w:eastAsia="zh-CN"/>
        </w:rPr>
        <w:t>1,805.83万元，</w:t>
      </w:r>
      <w:r>
        <w:rPr>
          <w:rFonts w:hint="eastAsia" w:ascii="仿宋_GB2312" w:eastAsia="仿宋_GB2312"/>
          <w:color w:val="auto"/>
          <w:spacing w:val="0"/>
          <w:sz w:val="32"/>
          <w:szCs w:val="32"/>
          <w:highlight w:val="none"/>
          <w:lang w:val="en-US" w:eastAsia="zh-CN"/>
        </w:rPr>
        <w:t>其中：本年收入合计</w:t>
      </w:r>
      <w:r>
        <w:rPr>
          <w:rFonts w:hint="eastAsia" w:ascii="仿宋_GB2312" w:eastAsia="仿宋_GB2312"/>
          <w:color w:val="auto"/>
          <w:spacing w:val="0"/>
          <w:sz w:val="32"/>
          <w:szCs w:val="32"/>
          <w:highlight w:val="none"/>
          <w:lang w:eastAsia="zh-CN"/>
        </w:rPr>
        <w:t>1,724.96万元，使用非财政拨款结余0.00万元，年初结转和结余80.87万元。</w:t>
      </w:r>
    </w:p>
    <w:p w14:paraId="2B3B33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2023</w:t>
      </w:r>
      <w:r>
        <w:rPr>
          <w:rFonts w:hint="eastAsia" w:ascii="仿宋_GB2312" w:eastAsia="仿宋_GB2312"/>
          <w:color w:val="auto"/>
          <w:spacing w:val="0"/>
          <w:sz w:val="32"/>
          <w:szCs w:val="32"/>
          <w:highlight w:val="none"/>
          <w:lang w:eastAsia="zh-CN"/>
        </w:rPr>
        <w:t>年</w:t>
      </w:r>
      <w:r>
        <w:rPr>
          <w:rFonts w:hint="eastAsia" w:ascii="仿宋_GB2312" w:eastAsia="仿宋_GB2312"/>
          <w:color w:val="auto"/>
          <w:spacing w:val="0"/>
          <w:sz w:val="32"/>
          <w:szCs w:val="32"/>
          <w:highlight w:val="none"/>
          <w:lang w:val="en-US" w:eastAsia="zh-CN"/>
        </w:rPr>
        <w:t>度</w:t>
      </w:r>
      <w:r>
        <w:rPr>
          <w:rFonts w:hint="eastAsia" w:ascii="仿宋_GB2312" w:eastAsia="仿宋_GB2312"/>
          <w:color w:val="auto"/>
          <w:spacing w:val="0"/>
          <w:sz w:val="32"/>
          <w:szCs w:val="32"/>
          <w:highlight w:val="none"/>
          <w:lang w:eastAsia="zh-CN"/>
        </w:rPr>
        <w:t>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1,805.83万元，</w:t>
      </w:r>
      <w:r>
        <w:rPr>
          <w:rFonts w:hint="eastAsia" w:ascii="仿宋_GB2312" w:eastAsia="仿宋_GB2312"/>
          <w:color w:val="auto"/>
          <w:spacing w:val="0"/>
          <w:sz w:val="32"/>
          <w:szCs w:val="32"/>
          <w:highlight w:val="none"/>
          <w:lang w:val="en-US" w:eastAsia="zh-CN"/>
        </w:rPr>
        <w:t>其中：本年支出合计</w:t>
      </w:r>
      <w:r>
        <w:rPr>
          <w:rFonts w:hint="eastAsia" w:ascii="仿宋_GB2312" w:eastAsia="仿宋_GB2312"/>
          <w:color w:val="auto"/>
          <w:spacing w:val="0"/>
          <w:sz w:val="32"/>
          <w:szCs w:val="32"/>
          <w:highlight w:val="none"/>
          <w:lang w:eastAsia="zh-CN"/>
        </w:rPr>
        <w:t>1,633.49万元，</w:t>
      </w:r>
      <w:r>
        <w:rPr>
          <w:rFonts w:hint="eastAsia" w:ascii="仿宋_GB2312" w:eastAsia="仿宋_GB2312"/>
          <w:color w:val="auto"/>
          <w:spacing w:val="0"/>
          <w:sz w:val="32"/>
          <w:szCs w:val="32"/>
          <w:highlight w:val="none"/>
          <w:lang w:val="en-US" w:eastAsia="zh-CN"/>
        </w:rPr>
        <w:t>结余分配</w:t>
      </w:r>
      <w:r>
        <w:rPr>
          <w:rFonts w:hint="eastAsia" w:ascii="仿宋_GB2312" w:eastAsia="仿宋_GB2312"/>
          <w:color w:val="auto"/>
          <w:spacing w:val="0"/>
          <w:sz w:val="32"/>
          <w:szCs w:val="32"/>
          <w:highlight w:val="none"/>
          <w:lang w:eastAsia="zh-CN"/>
        </w:rPr>
        <w:t>0.00万元，年末结转和结余172.34万元。</w:t>
      </w:r>
    </w:p>
    <w:p w14:paraId="3C831B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收入支出总体与上年相比</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增加159.90万元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增长9.71%</w:t>
      </w:r>
      <w:r>
        <w:rPr>
          <w:rFonts w:hint="eastAsia" w:ascii="仿宋_GB2312" w:eastAsia="仿宋_GB2312"/>
          <w:color w:val="auto"/>
          <w:spacing w:val="0"/>
          <w:sz w:val="32"/>
          <w:szCs w:val="32"/>
          <w:highlight w:val="none"/>
          <w:lang w:eastAsia="zh-CN"/>
        </w:rPr>
        <w:t>，主要原因是：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年人员职级晋升和工资结构变动</w:t>
      </w:r>
      <w:r>
        <w:rPr>
          <w:rFonts w:hint="eastAsia" w:ascii="仿宋_GB2312" w:eastAsia="仿宋_GB2312"/>
          <w:sz w:val="32"/>
          <w:szCs w:val="32"/>
          <w:lang w:eastAsia="zh-CN"/>
        </w:rPr>
        <w:t>，同时，医保、社保、公积金等缴费基数上涨，导致收入支出增加。</w:t>
      </w:r>
    </w:p>
    <w:p w14:paraId="4453ECC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rPr>
      </w:pPr>
      <w:bookmarkStart w:id="10" w:name="_Toc12142"/>
      <w:bookmarkStart w:id="11" w:name="_Toc1979"/>
      <w:r>
        <w:rPr>
          <w:rFonts w:hint="eastAsia" w:ascii="黑体" w:hAnsi="黑体" w:eastAsia="黑体" w:cs="宋体"/>
          <w:bCs/>
          <w:color w:val="auto"/>
          <w:kern w:val="0"/>
          <w:sz w:val="32"/>
          <w:szCs w:val="32"/>
          <w:highlight w:val="none"/>
          <w:lang w:eastAsia="zh-CN"/>
        </w:rPr>
        <w:t>二、</w:t>
      </w:r>
      <w:r>
        <w:rPr>
          <w:rFonts w:hint="eastAsia" w:ascii="黑体" w:hAnsi="黑体" w:eastAsia="黑体" w:cs="宋体"/>
          <w:bCs/>
          <w:color w:val="auto"/>
          <w:kern w:val="0"/>
          <w:sz w:val="32"/>
          <w:szCs w:val="32"/>
          <w:highlight w:val="none"/>
        </w:rPr>
        <w:t>收入</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情况说明</w:t>
      </w:r>
      <w:bookmarkEnd w:id="10"/>
      <w:bookmarkEnd w:id="11"/>
    </w:p>
    <w:p w14:paraId="2A70166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本年收入</w:t>
      </w:r>
      <w:r>
        <w:rPr>
          <w:rFonts w:hint="eastAsia" w:ascii="仿宋_GB2312" w:eastAsia="仿宋_GB2312"/>
          <w:color w:val="auto"/>
          <w:sz w:val="32"/>
          <w:szCs w:val="32"/>
          <w:highlight w:val="none"/>
          <w:lang w:eastAsia="zh-CN"/>
        </w:rPr>
        <w:t>1,724.96</w:t>
      </w:r>
      <w:r>
        <w:rPr>
          <w:rFonts w:hint="eastAsia" w:ascii="仿宋_GB2312" w:eastAsia="仿宋_GB2312"/>
          <w:color w:val="auto"/>
          <w:sz w:val="32"/>
          <w:szCs w:val="32"/>
          <w:highlight w:val="none"/>
        </w:rPr>
        <w:t>万元，其中：财政拨款收入</w:t>
      </w:r>
      <w:r>
        <w:rPr>
          <w:rFonts w:hint="eastAsia" w:ascii="仿宋_GB2312" w:eastAsia="仿宋_GB2312"/>
          <w:color w:val="auto"/>
          <w:sz w:val="32"/>
          <w:szCs w:val="32"/>
          <w:highlight w:val="none"/>
          <w:lang w:val="zh-CN"/>
        </w:rPr>
        <w:t>1,550.88</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89.91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；上级补助收入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；事业收入</w:t>
      </w:r>
      <w:r>
        <w:rPr>
          <w:rFonts w:hint="eastAsia" w:ascii="仿宋_GB2312" w:eastAsia="仿宋_GB2312"/>
          <w:color w:val="auto"/>
          <w:sz w:val="32"/>
          <w:szCs w:val="32"/>
          <w:highlight w:val="none"/>
          <w:lang w:val="zh-CN"/>
        </w:rPr>
        <w:t>173.90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10.08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；经营收入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附属单位上缴收入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；其他收入</w:t>
      </w:r>
      <w:r>
        <w:rPr>
          <w:rFonts w:hint="eastAsia" w:ascii="仿宋_GB2312" w:eastAsia="仿宋_GB2312"/>
          <w:color w:val="auto"/>
          <w:sz w:val="32"/>
          <w:szCs w:val="32"/>
          <w:highlight w:val="none"/>
          <w:lang w:val="zh-CN"/>
        </w:rPr>
        <w:t>0.18</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15F38A0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2" w:name="_Toc13201"/>
      <w:bookmarkStart w:id="13" w:name="_Toc27961"/>
      <w:r>
        <w:rPr>
          <w:rFonts w:hint="eastAsia" w:ascii="黑体" w:hAnsi="黑体" w:eastAsia="黑体" w:cs="宋体"/>
          <w:bCs/>
          <w:color w:val="auto"/>
          <w:kern w:val="0"/>
          <w:sz w:val="32"/>
          <w:szCs w:val="32"/>
          <w:highlight w:val="none"/>
          <w:lang w:eastAsia="zh-CN"/>
        </w:rPr>
        <w:t>三、支出决算情况说明</w:t>
      </w:r>
      <w:bookmarkEnd w:id="12"/>
      <w:bookmarkEnd w:id="13"/>
    </w:p>
    <w:p w14:paraId="3FDC9EF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color w:val="auto"/>
          <w:sz w:val="30"/>
          <w:szCs w:val="30"/>
          <w:highlight w:val="none"/>
          <w:lang w:val="zh-CN" w:eastAsia="zh-CN"/>
        </w:rPr>
      </w:pPr>
      <w:r>
        <w:rPr>
          <w:rFonts w:hint="eastAsia" w:ascii="Times New Roman" w:hAnsi="Times New Roman" w:eastAsia="仿宋_GB2312" w:cs="仿宋_GB2312"/>
          <w:color w:val="auto"/>
          <w:sz w:val="32"/>
          <w:szCs w:val="32"/>
          <w:highlight w:val="none"/>
          <w:lang w:val="zh-CN" w:eastAsia="zh-CN"/>
        </w:rPr>
        <w:t>本年支出1,633.49万元，其中：基本支出1,550.88万元，占94.94%；项目支出82.61万元，占5.06%；上缴上级支出0.00万元，占0.00%；经营支出0.00万元，占0.00%；对附属单位补助支出0.00万元，占0.00%。</w:t>
      </w:r>
    </w:p>
    <w:p w14:paraId="458F525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4" w:name="_Toc26564"/>
      <w:bookmarkStart w:id="15" w:name="_Toc4393"/>
      <w:r>
        <w:rPr>
          <w:rFonts w:hint="eastAsia" w:ascii="黑体" w:hAnsi="黑体" w:eastAsia="黑体" w:cs="宋体"/>
          <w:bCs/>
          <w:color w:val="auto"/>
          <w:kern w:val="0"/>
          <w:sz w:val="32"/>
          <w:szCs w:val="32"/>
          <w:highlight w:val="none"/>
          <w:lang w:eastAsia="zh-CN"/>
        </w:rPr>
        <w:t>四、财政拨款收入支出决算总体情况说明</w:t>
      </w:r>
      <w:bookmarkEnd w:id="14"/>
      <w:bookmarkEnd w:id="15"/>
    </w:p>
    <w:p w14:paraId="74C041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val="zh-CN" w:eastAsia="zh-CN"/>
        </w:rPr>
        <w:t>0.00</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本年财政拨款收入</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万元。财政拨款支出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其中：年末财政拨款结转和结余</w:t>
      </w:r>
      <w:r>
        <w:rPr>
          <w:rFonts w:hint="eastAsia" w:ascii="仿宋_GB2312" w:eastAsia="仿宋_GB2312"/>
          <w:color w:val="auto"/>
          <w:spacing w:val="0"/>
          <w:sz w:val="32"/>
          <w:szCs w:val="32"/>
          <w:highlight w:val="none"/>
          <w:lang w:val="zh-CN" w:eastAsia="zh-CN"/>
        </w:rPr>
        <w:t>0.00</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本年财政拨款支出</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w:t>
      </w:r>
    </w:p>
    <w:p w14:paraId="2A3B21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财政拨款收入支出总体与上年相比</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val="zh-CN" w:eastAsia="zh-CN"/>
        </w:rPr>
        <w:t>增加95.25万元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增长6.54%，</w:t>
      </w:r>
      <w:r>
        <w:rPr>
          <w:rFonts w:hint="eastAsia" w:ascii="仿宋_GB2312" w:eastAsia="仿宋_GB2312"/>
          <w:color w:val="auto"/>
          <w:spacing w:val="0"/>
          <w:sz w:val="32"/>
          <w:szCs w:val="32"/>
          <w:highlight w:val="none"/>
          <w:lang w:eastAsia="zh-CN"/>
        </w:rPr>
        <w:t>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年人员职级晋升和工资结构变动</w:t>
      </w:r>
      <w:r>
        <w:rPr>
          <w:rFonts w:hint="eastAsia" w:ascii="仿宋_GB2312" w:eastAsia="仿宋_GB2312"/>
          <w:sz w:val="32"/>
          <w:szCs w:val="32"/>
          <w:lang w:eastAsia="zh-CN"/>
        </w:rPr>
        <w:t>，同时，医保、社保、公积金等缴费基数上涨，导致</w:t>
      </w:r>
      <w:r>
        <w:rPr>
          <w:rFonts w:hint="eastAsia" w:ascii="仿宋_GB2312" w:eastAsia="仿宋_GB2312"/>
          <w:color w:val="auto"/>
          <w:spacing w:val="0"/>
          <w:sz w:val="32"/>
          <w:szCs w:val="32"/>
          <w:highlight w:val="none"/>
          <w:lang w:eastAsia="zh-CN"/>
        </w:rPr>
        <w:t>财政拨款</w:t>
      </w:r>
      <w:r>
        <w:rPr>
          <w:rFonts w:hint="eastAsia" w:ascii="仿宋_GB2312" w:eastAsia="仿宋_GB2312"/>
          <w:sz w:val="32"/>
          <w:szCs w:val="32"/>
          <w:lang w:eastAsia="zh-CN"/>
        </w:rPr>
        <w:t>收入支出增加</w:t>
      </w:r>
      <w:r>
        <w:rPr>
          <w:rFonts w:hint="eastAsia" w:ascii="仿宋_GB2312" w:eastAsia="仿宋_GB2312"/>
          <w:color w:val="auto"/>
          <w:spacing w:val="0"/>
          <w:sz w:val="32"/>
          <w:szCs w:val="32"/>
          <w:highlight w:val="none"/>
          <w:lang w:eastAsia="zh-CN"/>
        </w:rPr>
        <w:t>。与年初预算相比，年初预算数</w:t>
      </w:r>
      <w:r>
        <w:rPr>
          <w:rFonts w:hint="eastAsia" w:ascii="仿宋_GB2312" w:eastAsia="仿宋_GB2312"/>
          <w:color w:val="auto"/>
          <w:spacing w:val="0"/>
          <w:sz w:val="32"/>
          <w:szCs w:val="32"/>
          <w:highlight w:val="none"/>
          <w:lang w:val="zh-CN" w:eastAsia="zh-CN"/>
        </w:rPr>
        <w:t>1,380.82</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万元，预决算差异率12.32%，主要原因是：</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年人员职级晋升和工资结构变动，</w:t>
      </w:r>
      <w:r>
        <w:rPr>
          <w:rFonts w:hint="eastAsia" w:ascii="仿宋_GB2312" w:eastAsia="仿宋_GB2312"/>
          <w:sz w:val="32"/>
          <w:szCs w:val="32"/>
          <w:lang w:eastAsia="zh-CN"/>
        </w:rPr>
        <w:t>同时</w:t>
      </w:r>
      <w:r>
        <w:rPr>
          <w:rFonts w:hint="eastAsia" w:ascii="仿宋_GB2312" w:eastAsia="仿宋_GB2312"/>
          <w:sz w:val="32"/>
          <w:szCs w:val="32"/>
        </w:rPr>
        <w:t>自治区财政年中追加202</w:t>
      </w:r>
      <w:r>
        <w:rPr>
          <w:rFonts w:hint="eastAsia" w:ascii="仿宋_GB2312" w:eastAsia="仿宋_GB2312"/>
          <w:sz w:val="32"/>
          <w:szCs w:val="32"/>
          <w:lang w:val="en-US" w:eastAsia="zh-CN"/>
        </w:rPr>
        <w:t>2</w:t>
      </w:r>
      <w:r>
        <w:rPr>
          <w:rFonts w:hint="eastAsia" w:ascii="仿宋_GB2312" w:eastAsia="仿宋_GB2312"/>
          <w:sz w:val="32"/>
          <w:szCs w:val="32"/>
        </w:rPr>
        <w:t>年度绩效奖励金、职业年金等经费，导致年初预算数与决算数存在差异</w:t>
      </w:r>
      <w:r>
        <w:rPr>
          <w:rFonts w:hint="eastAsia" w:ascii="仿宋_GB2312" w:eastAsia="仿宋_GB2312"/>
          <w:color w:val="auto"/>
          <w:spacing w:val="0"/>
          <w:sz w:val="32"/>
          <w:szCs w:val="32"/>
          <w:highlight w:val="none"/>
          <w:lang w:eastAsia="zh-CN"/>
        </w:rPr>
        <w:t>。</w:t>
      </w:r>
    </w:p>
    <w:p w14:paraId="009A20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6" w:name="_Toc13833"/>
      <w:bookmarkStart w:id="17" w:name="_Toc20360"/>
      <w:r>
        <w:rPr>
          <w:rFonts w:hint="eastAsia" w:ascii="黑体" w:hAnsi="黑体" w:eastAsia="黑体" w:cs="宋体"/>
          <w:bCs/>
          <w:color w:val="auto"/>
          <w:kern w:val="0"/>
          <w:sz w:val="32"/>
          <w:szCs w:val="32"/>
          <w:highlight w:val="none"/>
          <w:lang w:eastAsia="zh-CN"/>
        </w:rPr>
        <w:t>五、一般公共预算财政拨款支出决算情况说明</w:t>
      </w:r>
      <w:bookmarkEnd w:id="16"/>
      <w:bookmarkEnd w:id="17"/>
    </w:p>
    <w:p w14:paraId="3CA5225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（一）一般公共预算财政拨款支出决算总体情况</w:t>
      </w:r>
    </w:p>
    <w:p w14:paraId="76CED1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2023年度一般公共预算财政拨款支出1,550.88万元，占本年支出合计的</w:t>
      </w:r>
      <w:r>
        <w:rPr>
          <w:rFonts w:hint="eastAsia" w:ascii="仿宋_GB2312" w:eastAsia="仿宋_GB2312"/>
          <w:color w:val="auto"/>
          <w:spacing w:val="0"/>
          <w:sz w:val="32"/>
          <w:szCs w:val="32"/>
          <w:highlight w:val="none"/>
          <w:lang w:val="zh-CN" w:eastAsia="zh-CN"/>
        </w:rPr>
        <w:t>94.94%</w:t>
      </w:r>
      <w:r>
        <w:rPr>
          <w:rFonts w:hint="eastAsia" w:ascii="仿宋_GB2312" w:eastAsia="仿宋_GB2312"/>
          <w:color w:val="auto"/>
          <w:spacing w:val="0"/>
          <w:sz w:val="32"/>
          <w:szCs w:val="32"/>
          <w:highlight w:val="none"/>
          <w:lang w:eastAsia="zh-CN"/>
        </w:rPr>
        <w:t>。与上年相比，</w:t>
      </w:r>
      <w:r>
        <w:rPr>
          <w:rFonts w:hint="eastAsia" w:ascii="仿宋_GB2312" w:eastAsia="仿宋_GB2312"/>
          <w:color w:val="auto"/>
          <w:spacing w:val="0"/>
          <w:sz w:val="32"/>
          <w:szCs w:val="32"/>
          <w:highlight w:val="none"/>
          <w:lang w:val="zh-CN" w:eastAsia="zh-CN"/>
        </w:rPr>
        <w:t>增加95.25万元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增长6.54%，</w:t>
      </w:r>
      <w:r>
        <w:rPr>
          <w:rFonts w:hint="eastAsia" w:ascii="仿宋_GB2312" w:eastAsia="仿宋_GB2312"/>
          <w:color w:val="auto"/>
          <w:spacing w:val="0"/>
          <w:sz w:val="32"/>
          <w:szCs w:val="32"/>
          <w:highlight w:val="none"/>
          <w:lang w:eastAsia="zh-CN"/>
        </w:rPr>
        <w:t>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年人员职级晋升和工资结构变动</w:t>
      </w:r>
      <w:r>
        <w:rPr>
          <w:rFonts w:hint="eastAsia" w:ascii="仿宋_GB2312" w:eastAsia="仿宋_GB2312"/>
          <w:sz w:val="32"/>
          <w:szCs w:val="32"/>
          <w:lang w:eastAsia="zh-CN"/>
        </w:rPr>
        <w:t>，同时，医保、社保、公积金等缴费基数上涨，导致</w:t>
      </w:r>
      <w:r>
        <w:rPr>
          <w:rFonts w:hint="eastAsia" w:ascii="仿宋_GB2312" w:eastAsia="仿宋_GB2312"/>
          <w:color w:val="auto"/>
          <w:spacing w:val="0"/>
          <w:sz w:val="32"/>
          <w:szCs w:val="32"/>
          <w:highlight w:val="none"/>
          <w:lang w:eastAsia="zh-CN"/>
        </w:rPr>
        <w:t>财政拨款</w:t>
      </w:r>
      <w:r>
        <w:rPr>
          <w:rFonts w:hint="eastAsia" w:ascii="仿宋_GB2312" w:eastAsia="仿宋_GB2312"/>
          <w:sz w:val="32"/>
          <w:szCs w:val="32"/>
          <w:lang w:eastAsia="zh-CN"/>
        </w:rPr>
        <w:t>支出增加</w:t>
      </w:r>
      <w:r>
        <w:rPr>
          <w:rFonts w:hint="eastAsia" w:ascii="仿宋_GB2312" w:eastAsia="仿宋_GB2312"/>
          <w:color w:val="auto"/>
          <w:spacing w:val="0"/>
          <w:sz w:val="32"/>
          <w:szCs w:val="32"/>
          <w:highlight w:val="none"/>
          <w:lang w:eastAsia="zh-CN"/>
        </w:rPr>
        <w:t>。与年初预算相比，年初预算数</w:t>
      </w:r>
      <w:r>
        <w:rPr>
          <w:rFonts w:hint="eastAsia" w:ascii="仿宋_GB2312" w:eastAsia="仿宋_GB2312"/>
          <w:color w:val="auto"/>
          <w:spacing w:val="0"/>
          <w:sz w:val="32"/>
          <w:szCs w:val="32"/>
          <w:highlight w:val="none"/>
          <w:lang w:val="zh-CN" w:eastAsia="zh-CN"/>
        </w:rPr>
        <w:t>1,380.82</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1,550.88</w:t>
      </w:r>
      <w:r>
        <w:rPr>
          <w:rFonts w:hint="eastAsia" w:ascii="仿宋_GB2312" w:eastAsia="仿宋_GB2312"/>
          <w:color w:val="auto"/>
          <w:spacing w:val="0"/>
          <w:sz w:val="32"/>
          <w:szCs w:val="32"/>
          <w:highlight w:val="none"/>
          <w:lang w:eastAsia="zh-CN"/>
        </w:rPr>
        <w:t>万元，预决算差异率</w:t>
      </w:r>
      <w:r>
        <w:rPr>
          <w:rFonts w:hint="eastAsia" w:ascii="仿宋_GB2312" w:eastAsia="仿宋_GB2312"/>
          <w:color w:val="auto"/>
          <w:spacing w:val="0"/>
          <w:sz w:val="32"/>
          <w:szCs w:val="32"/>
          <w:highlight w:val="none"/>
          <w:lang w:val="zh-CN" w:eastAsia="zh-CN"/>
        </w:rPr>
        <w:t>12.32%</w:t>
      </w:r>
      <w:r>
        <w:rPr>
          <w:rFonts w:hint="eastAsia" w:ascii="仿宋_GB2312" w:eastAsia="仿宋_GB2312"/>
          <w:color w:val="auto"/>
          <w:spacing w:val="0"/>
          <w:sz w:val="32"/>
          <w:szCs w:val="32"/>
          <w:highlight w:val="none"/>
          <w:lang w:eastAsia="zh-CN"/>
        </w:rPr>
        <w:t>，主要原因是：</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年人员职级晋升和工资结构变动，</w:t>
      </w:r>
      <w:r>
        <w:rPr>
          <w:rFonts w:hint="eastAsia" w:ascii="仿宋_GB2312" w:eastAsia="仿宋_GB2312"/>
          <w:sz w:val="32"/>
          <w:szCs w:val="32"/>
          <w:lang w:eastAsia="zh-CN"/>
        </w:rPr>
        <w:t>同时</w:t>
      </w:r>
      <w:r>
        <w:rPr>
          <w:rFonts w:hint="eastAsia" w:ascii="仿宋_GB2312" w:eastAsia="仿宋_GB2312"/>
          <w:sz w:val="32"/>
          <w:szCs w:val="32"/>
        </w:rPr>
        <w:t>自治区财政年中追加202</w:t>
      </w:r>
      <w:r>
        <w:rPr>
          <w:rFonts w:hint="eastAsia" w:ascii="仿宋_GB2312" w:eastAsia="仿宋_GB2312"/>
          <w:sz w:val="32"/>
          <w:szCs w:val="32"/>
          <w:lang w:val="en-US" w:eastAsia="zh-CN"/>
        </w:rPr>
        <w:t>2</w:t>
      </w:r>
      <w:r>
        <w:rPr>
          <w:rFonts w:hint="eastAsia" w:ascii="仿宋_GB2312" w:eastAsia="仿宋_GB2312"/>
          <w:sz w:val="32"/>
          <w:szCs w:val="32"/>
        </w:rPr>
        <w:t>年度绩效奖励金、职业年金等经费</w:t>
      </w:r>
      <w:r>
        <w:rPr>
          <w:rFonts w:hint="eastAsia" w:ascii="仿宋_GB2312" w:eastAsia="仿宋_GB2312"/>
          <w:color w:val="auto"/>
          <w:spacing w:val="0"/>
          <w:sz w:val="32"/>
          <w:szCs w:val="32"/>
          <w:highlight w:val="none"/>
          <w:lang w:eastAsia="zh-CN"/>
        </w:rPr>
        <w:t>。</w:t>
      </w:r>
    </w:p>
    <w:p w14:paraId="455CA34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一般公共预算</w:t>
      </w:r>
      <w:r>
        <w:rPr>
          <w:rFonts w:hint="eastAsia" w:ascii="黑体" w:hAnsi="黑体" w:eastAsia="黑体"/>
          <w:color w:val="auto"/>
          <w:sz w:val="32"/>
          <w:szCs w:val="32"/>
          <w:highlight w:val="none"/>
          <w:lang w:val="en-US" w:eastAsia="zh-CN"/>
        </w:rPr>
        <w:t>财政拨款支出决算</w:t>
      </w:r>
      <w:r>
        <w:rPr>
          <w:rFonts w:hint="eastAsia" w:ascii="黑体" w:hAnsi="黑体" w:eastAsia="黑体"/>
          <w:color w:val="auto"/>
          <w:sz w:val="32"/>
          <w:szCs w:val="32"/>
          <w:highlight w:val="none"/>
          <w:lang w:eastAsia="zh-CN"/>
        </w:rPr>
        <w:t>结构情况</w:t>
      </w:r>
    </w:p>
    <w:p w14:paraId="6E6E81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lang w:val="zh-CN" w:eastAsia="zh-CN" w:bidi="ar-SA"/>
        </w:rPr>
        <w:t>1.</w:t>
      </w:r>
      <w:r>
        <w:rPr>
          <w:rFonts w:hint="default" w:ascii="仿宋_GB2312" w:hAnsi="Times New Roman" w:eastAsia="仿宋_GB2312" w:cs="Times New Roman"/>
          <w:color w:val="auto"/>
          <w:spacing w:val="0"/>
          <w:kern w:val="2"/>
          <w:sz w:val="32"/>
          <w:szCs w:val="32"/>
          <w:highlight w:val="none"/>
          <w:lang w:val="zh-CN" w:eastAsia="zh-CN" w:bidi="ar-SA"/>
        </w:rPr>
        <w:t>一般公共服务支出（类）</w:t>
      </w:r>
      <w:r>
        <w:rPr>
          <w:rFonts w:hint="eastAsia" w:ascii="仿宋_GB2312" w:hAnsi="Times New Roman" w:eastAsia="仿宋_GB2312" w:cs="Times New Roman"/>
          <w:color w:val="auto"/>
          <w:spacing w:val="0"/>
          <w:kern w:val="2"/>
          <w:sz w:val="32"/>
          <w:szCs w:val="32"/>
          <w:highlight w:val="none"/>
          <w:lang w:val="zh-CN" w:eastAsia="zh-CN" w:bidi="ar-SA"/>
        </w:rPr>
        <w:t>1,103.79</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71.17</w:t>
      </w:r>
      <w:r>
        <w:rPr>
          <w:rFonts w:hint="default" w:ascii="仿宋_GB2312" w:hAnsi="Times New Roman" w:eastAsia="仿宋_GB2312" w:cs="Times New Roman"/>
          <w:color w:val="auto"/>
          <w:spacing w:val="0"/>
          <w:kern w:val="2"/>
          <w:sz w:val="32"/>
          <w:szCs w:val="32"/>
          <w:highlight w:val="none"/>
          <w:lang w:val="zh-CN" w:eastAsia="zh-CN" w:bidi="ar-SA"/>
        </w:rPr>
        <w:t>%；</w:t>
      </w:r>
    </w:p>
    <w:p w14:paraId="75C5AFF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2</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社会保障和就业支出（类）</w:t>
      </w:r>
      <w:r>
        <w:rPr>
          <w:rFonts w:hint="eastAsia" w:ascii="仿宋_GB2312" w:hAnsi="Times New Roman" w:eastAsia="仿宋_GB2312" w:cs="Times New Roman"/>
          <w:color w:val="auto"/>
          <w:spacing w:val="0"/>
          <w:kern w:val="2"/>
          <w:sz w:val="32"/>
          <w:szCs w:val="32"/>
          <w:highlight w:val="none"/>
          <w:lang w:val="zh-CN" w:eastAsia="zh-CN" w:bidi="ar-SA"/>
        </w:rPr>
        <w:t>233.09</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15.03</w:t>
      </w:r>
      <w:r>
        <w:rPr>
          <w:rFonts w:hint="default" w:ascii="仿宋_GB2312" w:hAnsi="Times New Roman" w:eastAsia="仿宋_GB2312" w:cs="Times New Roman"/>
          <w:color w:val="auto"/>
          <w:spacing w:val="0"/>
          <w:kern w:val="2"/>
          <w:sz w:val="32"/>
          <w:szCs w:val="32"/>
          <w:highlight w:val="none"/>
          <w:lang w:val="zh-CN" w:eastAsia="zh-CN" w:bidi="ar-SA"/>
        </w:rPr>
        <w:t>%；</w:t>
      </w:r>
    </w:p>
    <w:p w14:paraId="65BD5C4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3</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卫生健康支出（类）</w:t>
      </w:r>
      <w:r>
        <w:rPr>
          <w:rFonts w:hint="eastAsia" w:ascii="仿宋_GB2312" w:hAnsi="Times New Roman" w:eastAsia="仿宋_GB2312" w:cs="Times New Roman"/>
          <w:color w:val="auto"/>
          <w:spacing w:val="0"/>
          <w:kern w:val="2"/>
          <w:sz w:val="32"/>
          <w:szCs w:val="32"/>
          <w:highlight w:val="none"/>
          <w:lang w:val="zh-CN" w:eastAsia="zh-CN" w:bidi="ar-SA"/>
        </w:rPr>
        <w:t>117.10</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7.55</w:t>
      </w:r>
      <w:r>
        <w:rPr>
          <w:rFonts w:hint="default" w:ascii="仿宋_GB2312" w:hAnsi="Times New Roman" w:eastAsia="仿宋_GB2312" w:cs="Times New Roman"/>
          <w:color w:val="auto"/>
          <w:spacing w:val="0"/>
          <w:kern w:val="2"/>
          <w:sz w:val="32"/>
          <w:szCs w:val="32"/>
          <w:highlight w:val="none"/>
          <w:lang w:val="zh-CN" w:eastAsia="zh-CN" w:bidi="ar-SA"/>
        </w:rPr>
        <w:t>%；</w:t>
      </w:r>
    </w:p>
    <w:p w14:paraId="6425E27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4</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96.91</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6.25</w:t>
      </w:r>
      <w:r>
        <w:rPr>
          <w:rFonts w:hint="default" w:ascii="仿宋_GB2312" w:hAnsi="Times New Roman" w:eastAsia="仿宋_GB2312" w:cs="Times New Roman"/>
          <w:color w:val="auto"/>
          <w:spacing w:val="0"/>
          <w:kern w:val="2"/>
          <w:sz w:val="32"/>
          <w:szCs w:val="32"/>
          <w:highlight w:val="none"/>
          <w:lang w:val="zh-CN" w:eastAsia="zh-CN" w:bidi="ar-SA"/>
        </w:rPr>
        <w:t>%；</w:t>
      </w:r>
    </w:p>
    <w:p w14:paraId="6AC4D4E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（三）一般公共预算财政拨款支出决算具体情况</w:t>
      </w:r>
    </w:p>
    <w:p w14:paraId="1B591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1.一般公共服务支出（类）统计信息事务（款）行政运行（项）:支出决算数为2.34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16.76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87.7</w:t>
      </w:r>
      <w:r>
        <w:rPr>
          <w:rFonts w:hint="eastAsia" w:eastAsia="仿宋_GB2312" w:cs="Times New Roman"/>
          <w:color w:val="auto"/>
          <w:kern w:val="2"/>
          <w:sz w:val="32"/>
          <w:szCs w:val="32"/>
          <w:highlight w:val="none"/>
          <w:lang w:val="en-US" w:eastAsia="zh-CN" w:bidi="ar-SA"/>
        </w:rPr>
        <w:t>5</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ascii="仿宋_GB2312" w:eastAsia="仿宋_GB2312"/>
          <w:sz w:val="32"/>
          <w:szCs w:val="32"/>
        </w:rPr>
        <w:t>我单位有事业参公管理人员退休，导致行政运行经费减少</w:t>
      </w:r>
      <w:r>
        <w:rPr>
          <w:rFonts w:hint="eastAsia" w:eastAsia="仿宋_GB2312" w:cs="Times New Roman"/>
          <w:color w:val="auto"/>
          <w:kern w:val="2"/>
          <w:sz w:val="32"/>
          <w:szCs w:val="32"/>
          <w:highlight w:val="none"/>
          <w:lang w:val="zh-CN" w:eastAsia="zh-CN" w:bidi="ar-SA"/>
        </w:rPr>
        <w:t>。</w:t>
      </w:r>
    </w:p>
    <w:p w14:paraId="4E3C5B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2.卫生健康支出（类）行政事业单位医疗（款）行政单位医疗（项）:支出决算数为0.94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0.78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45.</w:t>
      </w:r>
      <w:r>
        <w:rPr>
          <w:rFonts w:hint="eastAsia" w:eastAsia="仿宋_GB2312" w:cs="Times New Roman"/>
          <w:color w:val="auto"/>
          <w:kern w:val="2"/>
          <w:sz w:val="32"/>
          <w:szCs w:val="32"/>
          <w:highlight w:val="none"/>
          <w:lang w:val="en-US" w:eastAsia="zh-CN" w:bidi="ar-SA"/>
        </w:rPr>
        <w:t>35</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ascii="仿宋_GB2312" w:eastAsia="仿宋_GB2312"/>
          <w:sz w:val="32"/>
          <w:szCs w:val="32"/>
        </w:rPr>
        <w:t>有参公管理人员退休，导致行政单位医疗经费减少</w:t>
      </w:r>
      <w:r>
        <w:rPr>
          <w:rFonts w:hint="eastAsia" w:eastAsia="仿宋_GB2312" w:cs="Times New Roman"/>
          <w:color w:val="auto"/>
          <w:kern w:val="2"/>
          <w:sz w:val="32"/>
          <w:szCs w:val="32"/>
          <w:highlight w:val="none"/>
          <w:lang w:val="zh-CN" w:eastAsia="zh-CN" w:bidi="ar-SA"/>
        </w:rPr>
        <w:t>。</w:t>
      </w:r>
    </w:p>
    <w:p w14:paraId="2927C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3.卫生健康支出（类）行政事业单位医疗（款）事业单位医疗（项）:支出决算数为59.63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2.70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4.75%，主要原因是：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年度人员职级晋升，基本医疗保险</w:t>
      </w:r>
      <w:r>
        <w:rPr>
          <w:rFonts w:hint="eastAsia" w:ascii="仿宋_GB2312" w:eastAsia="仿宋_GB2312"/>
          <w:sz w:val="32"/>
          <w:szCs w:val="32"/>
          <w:lang w:eastAsia="zh-CN"/>
        </w:rPr>
        <w:t>缴费</w:t>
      </w:r>
      <w:r>
        <w:rPr>
          <w:rFonts w:hint="eastAsia" w:ascii="仿宋_GB2312" w:eastAsia="仿宋_GB2312"/>
          <w:sz w:val="32"/>
          <w:szCs w:val="32"/>
        </w:rPr>
        <w:t>基数上调</w:t>
      </w:r>
      <w:r>
        <w:rPr>
          <w:rFonts w:hint="eastAsia" w:eastAsia="仿宋_GB2312" w:cs="Times New Roman"/>
          <w:color w:val="auto"/>
          <w:kern w:val="2"/>
          <w:sz w:val="32"/>
          <w:szCs w:val="32"/>
          <w:highlight w:val="none"/>
          <w:lang w:val="zh-CN" w:eastAsia="zh-CN" w:bidi="ar-SA"/>
        </w:rPr>
        <w:t>。</w:t>
      </w:r>
    </w:p>
    <w:p w14:paraId="7F796E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4.卫生健康支出（类）行政事业单位医疗（款）公务员医疗补助（项）:支出决算数为56.53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10.71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23.38%，主要原因是：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年度人员职级晋升，公务员医疗补助</w:t>
      </w:r>
      <w:r>
        <w:rPr>
          <w:rFonts w:hint="eastAsia" w:ascii="仿宋_GB2312" w:eastAsia="仿宋_GB2312"/>
          <w:sz w:val="32"/>
          <w:szCs w:val="32"/>
          <w:lang w:eastAsia="zh-CN"/>
        </w:rPr>
        <w:t>缴费</w:t>
      </w:r>
      <w:r>
        <w:rPr>
          <w:rFonts w:hint="eastAsia" w:ascii="仿宋_GB2312" w:eastAsia="仿宋_GB2312"/>
          <w:sz w:val="32"/>
          <w:szCs w:val="32"/>
        </w:rPr>
        <w:t>基数上调</w:t>
      </w:r>
      <w:r>
        <w:rPr>
          <w:rFonts w:hint="eastAsia" w:eastAsia="仿宋_GB2312" w:cs="Times New Roman"/>
          <w:color w:val="auto"/>
          <w:kern w:val="2"/>
          <w:sz w:val="32"/>
          <w:szCs w:val="32"/>
          <w:highlight w:val="none"/>
          <w:lang w:val="zh-CN" w:eastAsia="zh-CN" w:bidi="ar-SA"/>
        </w:rPr>
        <w:t>。</w:t>
      </w:r>
    </w:p>
    <w:p w14:paraId="15755B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5.住房保障支出（类）住房改革支出（款）住房公积金（项）:支出决算数为96.91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15.35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18.83%，主要原因是：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年度人员职级晋升，住房公积金</w:t>
      </w:r>
      <w:r>
        <w:rPr>
          <w:rFonts w:hint="eastAsia" w:ascii="仿宋_GB2312" w:eastAsia="仿宋_GB2312"/>
          <w:sz w:val="32"/>
          <w:szCs w:val="32"/>
          <w:lang w:eastAsia="zh-CN"/>
        </w:rPr>
        <w:t>缴费</w:t>
      </w:r>
      <w:r>
        <w:rPr>
          <w:rFonts w:hint="eastAsia" w:ascii="仿宋_GB2312" w:eastAsia="仿宋_GB2312"/>
          <w:sz w:val="32"/>
          <w:szCs w:val="32"/>
        </w:rPr>
        <w:t>基数上调</w:t>
      </w:r>
      <w:r>
        <w:rPr>
          <w:rFonts w:hint="eastAsia" w:eastAsia="仿宋_GB2312" w:cs="Times New Roman"/>
          <w:color w:val="auto"/>
          <w:kern w:val="2"/>
          <w:sz w:val="32"/>
          <w:szCs w:val="32"/>
          <w:highlight w:val="none"/>
          <w:lang w:val="zh-CN" w:eastAsia="zh-CN" w:bidi="ar-SA"/>
        </w:rPr>
        <w:t>。</w:t>
      </w:r>
    </w:p>
    <w:p w14:paraId="74410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6.一般公共服务支出（类）统计信息事务（款）事业运行（项）:支出决算数为1,101.45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20.23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1.87%，主要原因是：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年度人员职级晋升，工资调整，</w:t>
      </w:r>
      <w:r>
        <w:rPr>
          <w:rFonts w:hint="eastAsia" w:ascii="仿宋_GB2312" w:eastAsia="仿宋_GB2312"/>
          <w:sz w:val="32"/>
          <w:szCs w:val="32"/>
          <w:lang w:eastAsia="zh-CN"/>
        </w:rPr>
        <w:t>年中</w:t>
      </w:r>
      <w:r>
        <w:rPr>
          <w:rFonts w:hint="eastAsia" w:ascii="仿宋_GB2312" w:eastAsia="仿宋_GB2312"/>
          <w:sz w:val="32"/>
          <w:szCs w:val="32"/>
        </w:rPr>
        <w:t>追加202</w:t>
      </w:r>
      <w:r>
        <w:rPr>
          <w:rFonts w:hint="eastAsia" w:ascii="仿宋_GB2312" w:eastAsia="仿宋_GB2312"/>
          <w:sz w:val="32"/>
          <w:szCs w:val="32"/>
          <w:lang w:val="en-US" w:eastAsia="zh-CN"/>
        </w:rPr>
        <w:t>2</w:t>
      </w:r>
      <w:r>
        <w:rPr>
          <w:rFonts w:hint="eastAsia" w:ascii="仿宋_GB2312" w:eastAsia="仿宋_GB2312"/>
          <w:sz w:val="32"/>
          <w:szCs w:val="32"/>
        </w:rPr>
        <w:t>年度基础绩效奖等造成事业运行支出增加</w:t>
      </w:r>
      <w:r>
        <w:rPr>
          <w:rFonts w:hint="eastAsia" w:eastAsia="仿宋_GB2312" w:cs="Times New Roman"/>
          <w:color w:val="auto"/>
          <w:kern w:val="2"/>
          <w:sz w:val="32"/>
          <w:szCs w:val="32"/>
          <w:highlight w:val="none"/>
          <w:lang w:val="zh-CN" w:eastAsia="zh-CN" w:bidi="ar-SA"/>
        </w:rPr>
        <w:t>。</w:t>
      </w:r>
    </w:p>
    <w:p w14:paraId="34FC98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7.社会保障和就业支出（类）行政事业单位养老支出（款）事业单位离退休（项）:支出决算数为44.10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14.97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25.34%，主要原因是：</w:t>
      </w:r>
      <w:r>
        <w:rPr>
          <w:rFonts w:hint="eastAsia" w:eastAsia="仿宋_GB2312" w:cs="Times New Roman"/>
          <w:color w:val="auto"/>
          <w:kern w:val="2"/>
          <w:sz w:val="32"/>
          <w:szCs w:val="32"/>
          <w:highlight w:val="none"/>
          <w:lang w:val="en-US" w:eastAsia="zh-CN" w:bidi="ar-SA"/>
        </w:rPr>
        <w:t>2023年医保局政策调整，退休人员不再缴纳医疗保险，导致事业单位离退休费较少</w:t>
      </w:r>
      <w:r>
        <w:rPr>
          <w:rFonts w:hint="eastAsia" w:eastAsia="仿宋_GB2312" w:cs="Times New Roman"/>
          <w:color w:val="auto"/>
          <w:kern w:val="2"/>
          <w:sz w:val="32"/>
          <w:szCs w:val="32"/>
          <w:highlight w:val="none"/>
          <w:lang w:val="zh-CN" w:eastAsia="zh-CN" w:bidi="ar-SA"/>
        </w:rPr>
        <w:t>。</w:t>
      </w:r>
    </w:p>
    <w:p w14:paraId="6EB08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8.社会保障和就业支出（类）行政事业单位养老支出（款）行政单位离退休（项）:支出决算数为3.12</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1.64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11</w:t>
      </w:r>
      <w:r>
        <w:rPr>
          <w:rFonts w:hint="eastAsia" w:eastAsia="仿宋_GB2312" w:cs="Times New Roman"/>
          <w:color w:val="auto"/>
          <w:kern w:val="2"/>
          <w:sz w:val="32"/>
          <w:szCs w:val="32"/>
          <w:highlight w:val="none"/>
          <w:lang w:val="en-US" w:eastAsia="zh-CN" w:bidi="ar-SA"/>
        </w:rPr>
        <w:t>0.81</w:t>
      </w:r>
      <w:bookmarkStart w:id="48" w:name="_GoBack"/>
      <w:bookmarkEnd w:id="48"/>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ascii="仿宋_GB2312" w:eastAsia="仿宋_GB2312"/>
          <w:sz w:val="32"/>
          <w:szCs w:val="32"/>
        </w:rPr>
        <w:t>有参公管理人员退休，导致行政单位</w:t>
      </w:r>
      <w:r>
        <w:rPr>
          <w:rFonts w:hint="eastAsia" w:ascii="仿宋_GB2312" w:eastAsia="仿宋_GB2312"/>
          <w:sz w:val="32"/>
          <w:szCs w:val="32"/>
          <w:lang w:eastAsia="zh-CN"/>
        </w:rPr>
        <w:t>离退休</w:t>
      </w:r>
      <w:r>
        <w:rPr>
          <w:rFonts w:hint="eastAsia" w:ascii="仿宋_GB2312" w:eastAsia="仿宋_GB2312"/>
          <w:sz w:val="32"/>
          <w:szCs w:val="32"/>
        </w:rPr>
        <w:t>经费</w:t>
      </w:r>
      <w:r>
        <w:rPr>
          <w:rFonts w:hint="eastAsia" w:ascii="仿宋_GB2312" w:eastAsia="仿宋_GB2312"/>
          <w:sz w:val="32"/>
          <w:szCs w:val="32"/>
          <w:lang w:eastAsia="zh-CN"/>
        </w:rPr>
        <w:t>增加</w:t>
      </w:r>
      <w:r>
        <w:rPr>
          <w:rFonts w:hint="eastAsia" w:eastAsia="仿宋_GB2312" w:cs="Times New Roman"/>
          <w:color w:val="auto"/>
          <w:kern w:val="2"/>
          <w:sz w:val="32"/>
          <w:szCs w:val="32"/>
          <w:highlight w:val="none"/>
          <w:lang w:val="zh-CN" w:eastAsia="zh-CN" w:bidi="ar-SA"/>
        </w:rPr>
        <w:t>。</w:t>
      </w:r>
    </w:p>
    <w:p w14:paraId="727CAC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9.社会保障和就业支出（类）行政事业单位养老支出（款）机关事业单位职业年金缴费支出（项）:支出决算数为58.33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58.33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en-US" w:eastAsia="zh-CN" w:bidi="ar-SA"/>
        </w:rPr>
        <w:t>2023年退休人员比2022年退休人员多，相应职业年金缴费支出增加</w:t>
      </w:r>
      <w:r>
        <w:rPr>
          <w:rFonts w:hint="eastAsia" w:eastAsia="仿宋_GB2312" w:cs="Times New Roman"/>
          <w:color w:val="auto"/>
          <w:kern w:val="2"/>
          <w:sz w:val="32"/>
          <w:szCs w:val="32"/>
          <w:highlight w:val="none"/>
          <w:lang w:val="zh-CN" w:eastAsia="zh-CN" w:bidi="ar-SA"/>
        </w:rPr>
        <w:t>。</w:t>
      </w:r>
    </w:p>
    <w:p w14:paraId="17252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10.社会保障和就业支出（类）行政事业单位养老支出（款）机关事业单位基本养老保险缴费支出（项）:支出决算数为127.53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18.80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17.28%，主要原因是：</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年度人员职级晋升，养老保险</w:t>
      </w:r>
      <w:r>
        <w:rPr>
          <w:rFonts w:hint="eastAsia" w:ascii="仿宋_GB2312" w:eastAsia="仿宋_GB2312"/>
          <w:sz w:val="32"/>
          <w:szCs w:val="32"/>
          <w:lang w:eastAsia="zh-CN"/>
        </w:rPr>
        <w:t>缴费</w:t>
      </w:r>
      <w:r>
        <w:rPr>
          <w:rFonts w:hint="eastAsia" w:ascii="仿宋_GB2312" w:eastAsia="仿宋_GB2312"/>
          <w:sz w:val="32"/>
          <w:szCs w:val="32"/>
        </w:rPr>
        <w:t>基数上调</w:t>
      </w:r>
      <w:r>
        <w:rPr>
          <w:rFonts w:hint="eastAsia" w:eastAsia="仿宋_GB2312" w:cs="Times New Roman"/>
          <w:color w:val="auto"/>
          <w:kern w:val="2"/>
          <w:sz w:val="32"/>
          <w:szCs w:val="32"/>
          <w:highlight w:val="none"/>
          <w:lang w:val="zh-CN" w:eastAsia="zh-CN" w:bidi="ar-SA"/>
        </w:rPr>
        <w:t>。</w:t>
      </w:r>
    </w:p>
    <w:p w14:paraId="6CDC154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六、一般公共预算财政拨款基本支出决算情况说明</w:t>
      </w:r>
    </w:p>
    <w:p w14:paraId="226D6EA3">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lang w:eastAsia="zh-CN"/>
        </w:rPr>
        <w:t>1,550.88</w:t>
      </w:r>
      <w:r>
        <w:rPr>
          <w:rFonts w:hint="eastAsia" w:ascii="仿宋_GB2312" w:eastAsia="仿宋_GB2312"/>
          <w:color w:val="auto"/>
          <w:sz w:val="32"/>
          <w:szCs w:val="32"/>
          <w:highlight w:val="none"/>
        </w:rPr>
        <w:t>万元，其中：人员经费</w:t>
      </w:r>
      <w:r>
        <w:rPr>
          <w:rFonts w:hint="eastAsia" w:ascii="仿宋_GB2312" w:eastAsia="仿宋_GB2312"/>
          <w:color w:val="auto"/>
          <w:sz w:val="32"/>
          <w:szCs w:val="32"/>
          <w:highlight w:val="none"/>
          <w:lang w:eastAsia="zh-CN"/>
        </w:rPr>
        <w:t>1,455.62</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退休费、生活补助、其他对个人和家庭的补助。</w:t>
      </w:r>
    </w:p>
    <w:p w14:paraId="1AD4138A">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eastAsia="仿宋_GB2312"/>
          <w:color w:val="auto"/>
          <w:sz w:val="32"/>
          <w:szCs w:val="32"/>
          <w:highlight w:val="red"/>
          <w:lang w:val="en-US" w:eastAsia="zh-CN"/>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eastAsia="zh-CN"/>
        </w:rPr>
        <w:t>95.26</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办公费、印刷费、取暖费、物业管理费、差旅费、工会经费、福利费。</w:t>
      </w:r>
    </w:p>
    <w:p w14:paraId="56FE13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p>
    <w:p w14:paraId="716D5587">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2023年度</w:t>
      </w:r>
      <w:r>
        <w:rPr>
          <w:rFonts w:hint="eastAsia" w:ascii="仿宋_GB2312" w:eastAsia="仿宋_GB2312"/>
          <w:color w:val="auto"/>
          <w:sz w:val="32"/>
          <w:szCs w:val="32"/>
          <w:highlight w:val="none"/>
          <w:lang w:val="en-US" w:eastAsia="zh-CN"/>
        </w:rPr>
        <w:t>财政拨款</w:t>
      </w:r>
      <w:r>
        <w:rPr>
          <w:rFonts w:hint="eastAsia" w:ascii="仿宋_GB2312" w:eastAsia="仿宋_GB2312"/>
          <w:color w:val="auto"/>
          <w:sz w:val="32"/>
          <w:szCs w:val="32"/>
          <w:highlight w:val="none"/>
          <w:lang w:val="zh-CN" w:eastAsia="zh-CN"/>
        </w:rPr>
        <w:t>“三公”经费支出0.00万元，</w:t>
      </w:r>
      <w:r>
        <w:rPr>
          <w:rFonts w:hint="eastAsia" w:ascii="仿宋_GB2312" w:eastAsia="仿宋_GB2312"/>
          <w:color w:val="auto"/>
          <w:sz w:val="32"/>
          <w:szCs w:val="32"/>
          <w:highlight w:val="none"/>
          <w:lang w:val="en-US" w:eastAsia="zh-CN"/>
        </w:rPr>
        <w:t>比上年</w:t>
      </w:r>
      <w:r>
        <w:rPr>
          <w:rFonts w:hint="eastAsia" w:ascii="仿宋_GB2312" w:eastAsia="仿宋_GB2312"/>
          <w:color w:val="auto"/>
          <w:sz w:val="32"/>
          <w:szCs w:val="32"/>
          <w:highlight w:val="none"/>
          <w:lang w:val="zh-CN" w:eastAsia="zh-CN"/>
        </w:rPr>
        <w:t>增加0.00万元，增长0.00%，主要原因是：</w:t>
      </w:r>
      <w:r>
        <w:rPr>
          <w:rFonts w:ascii="仿宋_GB2312" w:eastAsia="仿宋_GB2312"/>
          <w:sz w:val="32"/>
          <w:szCs w:val="32"/>
        </w:rPr>
        <w:t>我单位无“三公”经费预算，故无“三公”经费支出</w:t>
      </w:r>
      <w:r>
        <w:rPr>
          <w:rFonts w:hint="eastAsia" w:ascii="仿宋_GB2312" w:eastAsia="仿宋_GB2312"/>
          <w:color w:val="auto"/>
          <w:sz w:val="32"/>
          <w:szCs w:val="32"/>
          <w:highlight w:val="none"/>
          <w:lang w:val="zh-CN" w:eastAsia="zh-CN"/>
        </w:rPr>
        <w:t>。其中：因公出国（境）费支出0.00万元，占0.00%，比上年增加0.00万元，增长0.00%，主要原因是：</w:t>
      </w:r>
      <w:r>
        <w:rPr>
          <w:rFonts w:ascii="仿宋_GB2312" w:eastAsia="仿宋_GB2312"/>
          <w:sz w:val="32"/>
          <w:szCs w:val="32"/>
        </w:rPr>
        <w:t>因公出国（境）费未发生，保持零预算零支出</w:t>
      </w:r>
      <w:r>
        <w:rPr>
          <w:rFonts w:hint="eastAsia" w:ascii="仿宋_GB2312" w:eastAsia="仿宋_GB2312"/>
          <w:color w:val="auto"/>
          <w:sz w:val="32"/>
          <w:szCs w:val="32"/>
          <w:highlight w:val="none"/>
          <w:lang w:val="zh-CN" w:eastAsia="zh-CN"/>
        </w:rPr>
        <w:t>；公务用车购置及运行维护费支出0.00万元，占0.00%，比上年增加0.00万元，增长0.00%，主要原因是：</w:t>
      </w:r>
      <w:r>
        <w:rPr>
          <w:rFonts w:ascii="仿宋_GB2312" w:eastAsia="仿宋_GB2312"/>
          <w:sz w:val="32"/>
          <w:szCs w:val="32"/>
        </w:rPr>
        <w:t>公务用车购置及运行维护费未发生，保持零预算零支出</w:t>
      </w:r>
      <w:r>
        <w:rPr>
          <w:rFonts w:hint="eastAsia" w:ascii="仿宋_GB2312" w:eastAsia="仿宋_GB2312"/>
          <w:color w:val="auto"/>
          <w:sz w:val="32"/>
          <w:szCs w:val="32"/>
          <w:highlight w:val="none"/>
          <w:lang w:val="zh-CN" w:eastAsia="zh-CN"/>
        </w:rPr>
        <w:t>；公务接待费支出0.00万元，占0.00%，比上年增加0.00万元，增长0.00%，主要原因是：</w:t>
      </w:r>
      <w:r>
        <w:rPr>
          <w:rFonts w:ascii="仿宋_GB2312" w:eastAsia="仿宋_GB2312"/>
          <w:sz w:val="32"/>
          <w:szCs w:val="32"/>
        </w:rPr>
        <w:t>因公务接待费未发生，保持零预算零支出</w:t>
      </w:r>
      <w:r>
        <w:rPr>
          <w:rFonts w:hint="eastAsia" w:ascii="仿宋_GB2312" w:eastAsia="仿宋_GB2312"/>
          <w:color w:val="auto"/>
          <w:sz w:val="32"/>
          <w:szCs w:val="32"/>
          <w:highlight w:val="none"/>
          <w:lang w:val="zh-CN" w:eastAsia="zh-CN"/>
        </w:rPr>
        <w:t>。</w:t>
      </w:r>
    </w:p>
    <w:p w14:paraId="41632A04">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具体情况如下：</w:t>
      </w:r>
    </w:p>
    <w:p w14:paraId="6553218E">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因公出国（境）费支出0.00万元，开支内容包括</w:t>
      </w:r>
      <w:r>
        <w:rPr>
          <w:rFonts w:hint="eastAsia" w:ascii="仿宋_GB2312" w:eastAsia="仿宋_GB2312"/>
          <w:sz w:val="32"/>
          <w:szCs w:val="32"/>
        </w:rPr>
        <w:t>我单位无因公出国（境）费</w:t>
      </w:r>
      <w:r>
        <w:rPr>
          <w:rFonts w:hint="eastAsia" w:ascii="仿宋_GB2312" w:eastAsia="仿宋_GB2312"/>
          <w:color w:val="auto"/>
          <w:sz w:val="32"/>
          <w:szCs w:val="32"/>
          <w:highlight w:val="none"/>
          <w:lang w:val="zh-CN" w:eastAsia="zh-CN"/>
        </w:rPr>
        <w:t>。单位全年安排的因公出国（境）团组0个，因公出国（境）0人次。</w:t>
      </w:r>
    </w:p>
    <w:p w14:paraId="42B37346">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eastAsia="zh-CN"/>
        </w:rPr>
        <w:t>公务用车购置及运行维护费0.00万元，其中：公务用车购置费0.00万元，公务用车运行维护费0.00万元。公务用车运行维护费开支内容包括</w:t>
      </w:r>
      <w:r>
        <w:rPr>
          <w:rFonts w:hint="eastAsia" w:ascii="仿宋_GB2312" w:eastAsia="仿宋_GB2312"/>
          <w:sz w:val="32"/>
          <w:szCs w:val="32"/>
        </w:rPr>
        <w:t>我单位无公务用车运行维护费</w:t>
      </w:r>
      <w:r>
        <w:rPr>
          <w:rFonts w:hint="eastAsia" w:ascii="仿宋_GB2312" w:eastAsia="仿宋_GB2312"/>
          <w:color w:val="auto"/>
          <w:sz w:val="32"/>
          <w:szCs w:val="32"/>
          <w:highlight w:val="none"/>
          <w:lang w:val="zh-CN" w:eastAsia="zh-CN"/>
        </w:rPr>
        <w:t>。公务用车购置数0辆，公务用车保有量0辆。国有资产占用情况</w:t>
      </w:r>
      <w:r>
        <w:rPr>
          <w:rFonts w:hint="eastAsia" w:ascii="仿宋_GB2312" w:eastAsia="仿宋_GB2312"/>
          <w:color w:val="auto"/>
          <w:sz w:val="32"/>
          <w:szCs w:val="32"/>
          <w:highlight w:val="none"/>
          <w:lang w:val="en-US" w:eastAsia="zh-CN"/>
        </w:rPr>
        <w:t>中固定资产车辆</w:t>
      </w:r>
      <w:r>
        <w:rPr>
          <w:rFonts w:hint="eastAsia" w:ascii="仿宋_GB2312" w:eastAsia="仿宋_GB2312"/>
          <w:color w:val="auto"/>
          <w:sz w:val="32"/>
          <w:szCs w:val="32"/>
          <w:highlight w:val="none"/>
          <w:lang w:val="zh-CN" w:eastAsia="zh-CN"/>
        </w:rPr>
        <w:t>0辆，</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val="zh-CN" w:eastAsia="zh-CN"/>
        </w:rPr>
        <w:t>公务用车</w:t>
      </w:r>
      <w:r>
        <w:rPr>
          <w:rFonts w:hint="eastAsia" w:ascii="仿宋_GB2312" w:eastAsia="仿宋_GB2312"/>
          <w:color w:val="auto"/>
          <w:sz w:val="32"/>
          <w:szCs w:val="32"/>
          <w:highlight w:val="none"/>
          <w:lang w:val="en-US" w:eastAsia="zh-CN"/>
        </w:rPr>
        <w:t>保有量差异</w:t>
      </w:r>
      <w:r>
        <w:rPr>
          <w:rFonts w:hint="eastAsia" w:ascii="仿宋_GB2312" w:eastAsia="仿宋_GB2312"/>
          <w:color w:val="auto"/>
          <w:sz w:val="32"/>
          <w:szCs w:val="32"/>
          <w:highlight w:val="none"/>
          <w:lang w:val="zh-CN" w:eastAsia="zh-CN"/>
        </w:rPr>
        <w:t>原因是：我单位无固定资产车辆，无公务用车，与公务用车保有量无差异。</w:t>
      </w:r>
    </w:p>
    <w:p w14:paraId="5BB794F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公务接待费0.00万元，开支内容包括</w:t>
      </w:r>
      <w:r>
        <w:rPr>
          <w:rFonts w:hint="eastAsia" w:ascii="仿宋_GB2312" w:eastAsia="仿宋_GB2312"/>
          <w:sz w:val="32"/>
          <w:szCs w:val="32"/>
        </w:rPr>
        <w:t>我单位无公务接待费</w:t>
      </w:r>
      <w:r>
        <w:rPr>
          <w:rFonts w:hint="eastAsia" w:ascii="仿宋_GB2312" w:eastAsia="仿宋_GB2312"/>
          <w:color w:val="auto"/>
          <w:sz w:val="32"/>
          <w:szCs w:val="32"/>
          <w:highlight w:val="none"/>
          <w:lang w:val="zh-CN" w:eastAsia="zh-CN"/>
        </w:rPr>
        <w:t>。单位全年安排的国内公务接待0批次，0人次。</w:t>
      </w:r>
    </w:p>
    <w:p w14:paraId="3437C152">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与</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预算相比</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zh-CN" w:eastAsia="zh-CN"/>
        </w:rPr>
        <w:t>财政拨款“三公”经费支出</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w:t>
      </w:r>
      <w:r>
        <w:rPr>
          <w:rFonts w:hint="eastAsia" w:ascii="仿宋_GB2312" w:eastAsia="仿宋_GB2312"/>
          <w:sz w:val="32"/>
          <w:szCs w:val="32"/>
        </w:rPr>
        <w:t>我单位无财政拨款“三公”经费支出，保持零预算零支出</w:t>
      </w:r>
      <w:r>
        <w:rPr>
          <w:rFonts w:hint="eastAsia" w:ascii="仿宋_GB2312" w:eastAsia="仿宋_GB2312"/>
          <w:sz w:val="32"/>
          <w:szCs w:val="32"/>
          <w:lang w:eastAsia="zh-CN"/>
        </w:rPr>
        <w:t>，</w:t>
      </w:r>
      <w:r>
        <w:rPr>
          <w:rFonts w:hint="eastAsia" w:ascii="仿宋_GB2312" w:eastAsia="仿宋_GB2312"/>
          <w:sz w:val="32"/>
          <w:szCs w:val="32"/>
        </w:rPr>
        <w:t>无预决算差异率</w:t>
      </w:r>
      <w:r>
        <w:rPr>
          <w:rFonts w:hint="eastAsia" w:ascii="仿宋_GB2312" w:eastAsia="仿宋_GB2312"/>
          <w:color w:val="auto"/>
          <w:sz w:val="32"/>
          <w:szCs w:val="32"/>
          <w:highlight w:val="none"/>
          <w:lang w:val="zh-CN" w:eastAsia="zh-CN"/>
        </w:rPr>
        <w:t>。其中：因公出国（境）费</w:t>
      </w:r>
      <w:r>
        <w:rPr>
          <w:rFonts w:hint="eastAsia" w:ascii="仿宋_GB2312" w:eastAsia="仿宋_GB2312"/>
          <w:color w:val="auto"/>
          <w:sz w:val="32"/>
          <w:szCs w:val="32"/>
          <w:highlight w:val="none"/>
          <w:lang w:val="en-US" w:eastAsia="zh-CN"/>
        </w:rPr>
        <w:t>全年预算数</w:t>
      </w:r>
      <w:r>
        <w:rPr>
          <w:rFonts w:hint="eastAsia" w:ascii="仿宋_GB2312" w:eastAsia="仿宋_GB2312"/>
          <w:color w:val="auto"/>
          <w:sz w:val="32"/>
          <w:szCs w:val="32"/>
          <w:highlight w:val="none"/>
          <w:lang w:val="zh-CN" w:eastAsia="zh-CN"/>
        </w:rPr>
        <w:t>0.00万元，决算数0.00万元，预决算差异率0.00%，主要原因是：</w:t>
      </w:r>
      <w:r>
        <w:rPr>
          <w:rFonts w:hint="eastAsia" w:ascii="仿宋_GB2312" w:eastAsia="仿宋_GB2312"/>
          <w:sz w:val="32"/>
          <w:szCs w:val="32"/>
        </w:rPr>
        <w:t>我单位无因公出国（境）费，保持零预算零支出</w:t>
      </w:r>
      <w:r>
        <w:rPr>
          <w:rFonts w:hint="eastAsia" w:ascii="仿宋_GB2312" w:eastAsia="仿宋_GB2312"/>
          <w:sz w:val="32"/>
          <w:szCs w:val="32"/>
          <w:lang w:eastAsia="zh-CN"/>
        </w:rPr>
        <w:t>，</w:t>
      </w:r>
      <w:r>
        <w:rPr>
          <w:rFonts w:hint="eastAsia" w:ascii="仿宋_GB2312" w:eastAsia="仿宋_GB2312"/>
          <w:sz w:val="32"/>
          <w:szCs w:val="32"/>
        </w:rPr>
        <w:t>无预决算差异率</w:t>
      </w:r>
      <w:r>
        <w:rPr>
          <w:rFonts w:hint="eastAsia" w:ascii="仿宋_GB2312" w:eastAsia="仿宋_GB2312"/>
          <w:color w:val="auto"/>
          <w:sz w:val="32"/>
          <w:szCs w:val="32"/>
          <w:highlight w:val="none"/>
          <w:lang w:val="zh-CN" w:eastAsia="zh-CN"/>
        </w:rPr>
        <w:t>；公务用车购置费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我单位无公务用车购置费，保持零预算零支出</w:t>
      </w:r>
      <w:r>
        <w:rPr>
          <w:rFonts w:hint="eastAsia" w:ascii="仿宋_GB2312" w:eastAsia="仿宋_GB2312"/>
          <w:sz w:val="32"/>
          <w:szCs w:val="32"/>
          <w:lang w:eastAsia="zh-CN"/>
        </w:rPr>
        <w:t>，</w:t>
      </w:r>
      <w:r>
        <w:rPr>
          <w:rFonts w:hint="eastAsia" w:ascii="仿宋_GB2312" w:eastAsia="仿宋_GB2312"/>
          <w:sz w:val="32"/>
          <w:szCs w:val="32"/>
        </w:rPr>
        <w:t>无预决算差异率</w:t>
      </w:r>
      <w:r>
        <w:rPr>
          <w:rFonts w:hint="eastAsia" w:ascii="仿宋_GB2312" w:eastAsia="仿宋_GB2312"/>
          <w:color w:val="auto"/>
          <w:sz w:val="32"/>
          <w:szCs w:val="32"/>
          <w:highlight w:val="none"/>
          <w:lang w:val="zh-CN" w:eastAsia="zh-CN"/>
        </w:rPr>
        <w:t>；公务用车运行费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我单位无公务用车运行维护费，保持零预算零支出</w:t>
      </w:r>
      <w:r>
        <w:rPr>
          <w:rFonts w:hint="eastAsia" w:ascii="仿宋_GB2312" w:eastAsia="仿宋_GB2312"/>
          <w:sz w:val="32"/>
          <w:szCs w:val="32"/>
          <w:lang w:eastAsia="zh-CN"/>
        </w:rPr>
        <w:t>，</w:t>
      </w:r>
      <w:r>
        <w:rPr>
          <w:rFonts w:hint="eastAsia" w:ascii="仿宋_GB2312" w:eastAsia="仿宋_GB2312"/>
          <w:sz w:val="32"/>
          <w:szCs w:val="32"/>
        </w:rPr>
        <w:t>无预决算差异率</w:t>
      </w:r>
      <w:r>
        <w:rPr>
          <w:rFonts w:hint="eastAsia" w:ascii="仿宋_GB2312" w:eastAsia="仿宋_GB2312"/>
          <w:color w:val="auto"/>
          <w:sz w:val="32"/>
          <w:szCs w:val="32"/>
          <w:highlight w:val="none"/>
          <w:lang w:val="zh-CN" w:eastAsia="zh-CN"/>
        </w:rPr>
        <w:t>；公务接待费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w:t>
      </w:r>
      <w:r>
        <w:rPr>
          <w:rFonts w:hint="eastAsia" w:ascii="仿宋_GB2312" w:eastAsia="仿宋_GB2312"/>
          <w:sz w:val="32"/>
          <w:szCs w:val="32"/>
        </w:rPr>
        <w:t>我单位无公务接待费，保持零预算零支出</w:t>
      </w:r>
      <w:r>
        <w:rPr>
          <w:rFonts w:hint="eastAsia" w:ascii="仿宋_GB2312" w:eastAsia="仿宋_GB2312"/>
          <w:sz w:val="32"/>
          <w:szCs w:val="32"/>
          <w:lang w:eastAsia="zh-CN"/>
        </w:rPr>
        <w:t>，</w:t>
      </w:r>
      <w:r>
        <w:rPr>
          <w:rFonts w:hint="eastAsia" w:ascii="仿宋_GB2312" w:eastAsia="仿宋_GB2312"/>
          <w:sz w:val="32"/>
          <w:szCs w:val="32"/>
        </w:rPr>
        <w:t>无预决算差异率</w:t>
      </w:r>
      <w:r>
        <w:rPr>
          <w:rFonts w:hint="eastAsia" w:ascii="仿宋_GB2312" w:eastAsia="仿宋_GB2312"/>
          <w:color w:val="auto"/>
          <w:sz w:val="32"/>
          <w:szCs w:val="32"/>
          <w:highlight w:val="none"/>
          <w:lang w:val="zh-CN" w:eastAsia="zh-CN"/>
        </w:rPr>
        <w:t>。</w:t>
      </w:r>
    </w:p>
    <w:p w14:paraId="76C3DA5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8" w:name="_Toc7927"/>
      <w:bookmarkStart w:id="19" w:name="_Toc5810"/>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18"/>
      <w:bookmarkEnd w:id="19"/>
    </w:p>
    <w:p w14:paraId="48426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lang w:eastAsia="zh-CN"/>
        </w:rPr>
        <w:t>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14:paraId="3478D57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14:paraId="76F38D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lang w:eastAsia="zh-CN"/>
        </w:rPr>
        <w:t>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14:paraId="377B68A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0" w:name="_Toc7314"/>
      <w:bookmarkStart w:id="21" w:name="_Toc1235"/>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20"/>
      <w:bookmarkEnd w:id="21"/>
    </w:p>
    <w:p w14:paraId="28D4A17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rPr>
      </w:pPr>
      <w:bookmarkStart w:id="22" w:name="_Toc13105"/>
      <w:bookmarkStart w:id="23" w:name="_Toc14519"/>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22"/>
      <w:bookmarkEnd w:id="23"/>
    </w:p>
    <w:p w14:paraId="3BAB90A5">
      <w:pPr>
        <w:ind w:firstLine="640" w:firstLineChars="200"/>
        <w:rPr>
          <w:rFonts w:hint="eastAsia" w:ascii="Times New Roman" w:hAnsi="Times New Roman" w:eastAsia="仿宋_GB2312" w:cs="Times New Roman"/>
          <w:color w:val="auto"/>
          <w:sz w:val="32"/>
          <w:szCs w:val="32"/>
          <w:highlight w:val="none"/>
          <w:lang w:val="zh-CN" w:eastAsia="zh-CN"/>
        </w:rPr>
      </w:pPr>
      <w:bookmarkStart w:id="24" w:name="_Toc26704"/>
      <w:bookmarkStart w:id="25" w:name="_Toc227"/>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en-US" w:eastAsia="zh-CN"/>
        </w:rPr>
        <w:t>新疆维吾尔自治区统计调查监测中心</w:t>
      </w:r>
      <w:r>
        <w:rPr>
          <w:rFonts w:hint="eastAsia" w:ascii="Times New Roman" w:hAnsi="Times New Roman" w:eastAsia="仿宋_GB2312" w:cs="Times New Roman"/>
          <w:color w:val="auto"/>
          <w:sz w:val="32"/>
          <w:szCs w:val="32"/>
          <w:highlight w:val="none"/>
          <w:lang w:val="zh-CN" w:eastAsia="zh-CN"/>
        </w:rPr>
        <w:t>（事业单位）公用经费支出95.26万元，比上年减少7.31万元，下降7.13%，主要原因是：</w:t>
      </w:r>
      <w:r>
        <w:rPr>
          <w:rFonts w:hint="eastAsia" w:eastAsia="仿宋_GB2312" w:cs="Times New Roman"/>
          <w:color w:val="auto"/>
          <w:sz w:val="32"/>
          <w:szCs w:val="32"/>
          <w:highlight w:val="none"/>
          <w:lang w:val="en-US" w:eastAsia="zh-CN"/>
        </w:rPr>
        <w:t>退休人员增多，公用经费较上年减少。</w:t>
      </w:r>
    </w:p>
    <w:p w14:paraId="1354C6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24"/>
      <w:bookmarkEnd w:id="25"/>
    </w:p>
    <w:p w14:paraId="6F0801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132.99万元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其中：政府采购货物支出0.00万元、政府采购工程支出0.00万元、政府采购服务支出132.99万元。</w:t>
      </w:r>
    </w:p>
    <w:p w14:paraId="0F73B4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授予中小企业合同金额132.99万元，占政府采购支出总额的100.00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，其中：授予小微企业合同金额132.99万元，占政府采购支出总额的100.00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14:paraId="526F6A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26" w:name="_Toc8391"/>
      <w:bookmarkStart w:id="27" w:name="_Toc4591"/>
      <w:r>
        <w:rPr>
          <w:rFonts w:hint="eastAsia" w:ascii="Times New Roman" w:hAnsi="Times New Roman" w:eastAsia="黑体" w:cs="Times New Roman"/>
          <w:color w:val="auto"/>
          <w:sz w:val="32"/>
          <w:szCs w:val="30"/>
          <w:highlight w:val="none"/>
          <w:lang w:val="zh-CN" w:eastAsia="zh-CN"/>
        </w:rPr>
        <w:t>（三）国有资产占用情况说明</w:t>
      </w:r>
      <w:bookmarkEnd w:id="26"/>
      <w:bookmarkEnd w:id="27"/>
    </w:p>
    <w:p w14:paraId="7EF287B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90.07</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屋0.0平方米，价值0.00万元。车辆0辆，价值0.00万元，其中：副部（省）级及以上领导用车0辆、主要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用车0辆、机要通信用车0辆、应急保障用车0辆、执法执勤用车0辆、特种专业技术用车0辆、离退休干部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用车0辆、其他用车0辆，其他用车主要是：</w:t>
      </w:r>
      <w:r>
        <w:rPr>
          <w:rFonts w:hint="eastAsia" w:ascii="仿宋_GB2312" w:eastAsia="仿宋_GB2312"/>
          <w:sz w:val="32"/>
          <w:szCs w:val="32"/>
        </w:rPr>
        <w:t>我单位无其他用车</w:t>
      </w:r>
      <w:r>
        <w:rPr>
          <w:rFonts w:hint="eastAsia" w:ascii="Times New Roman" w:hAnsi="Times New Roman" w:eastAsia="仿宋_GB2312" w:cs="Times New Roman"/>
          <w:color w:val="auto"/>
          <w:sz w:val="32"/>
          <w:szCs w:val="32"/>
          <w:highlight w:val="none"/>
          <w:lang w:val="zh-CN" w:eastAsia="zh-CN"/>
        </w:rPr>
        <w:t>；单价100万元（含）以上设备（不含车辆）0</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14:paraId="4ED366D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8" w:name="_Toc435"/>
      <w:bookmarkStart w:id="29" w:name="_Toc11283"/>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28"/>
      <w:bookmarkEnd w:id="29"/>
    </w:p>
    <w:p w14:paraId="2ED3038C">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根据预算绩效管理要求，我单位2023年整体绩效自评表0个，全年预算总额0万元，实际执行0万元。我单位整体支出绩效自评表由主管部门编报并公开</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color w:val="auto"/>
          <w:sz w:val="32"/>
          <w:szCs w:val="32"/>
          <w:highlight w:val="none"/>
          <w:lang w:eastAsia="zh-CN"/>
        </w:rPr>
        <w:t>预算绩效评价项目</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全年预算数138.9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全年执行数82.61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。预算绩效管理取得的成效：一是</w:t>
      </w:r>
      <w:r>
        <w:rPr>
          <w:rFonts w:ascii="仿宋_GB2312" w:eastAsia="仿宋_GB2312"/>
          <w:sz w:val="32"/>
          <w:szCs w:val="32"/>
        </w:rPr>
        <w:t>各处室人员的预算绩效管理意识增强，能积极参与预算绩效编制</w:t>
      </w:r>
      <w:r>
        <w:rPr>
          <w:rFonts w:hint="eastAsia" w:ascii="仿宋_GB2312" w:eastAsia="仿宋_GB2312"/>
          <w:color w:val="auto"/>
          <w:sz w:val="32"/>
          <w:szCs w:val="32"/>
          <w:highlight w:val="none"/>
          <w:lang w:eastAsia="zh-CN"/>
        </w:rPr>
        <w:t>；二是</w:t>
      </w:r>
      <w:r>
        <w:rPr>
          <w:rFonts w:ascii="仿宋_GB2312" w:eastAsia="仿宋_GB2312"/>
          <w:sz w:val="32"/>
          <w:szCs w:val="32"/>
        </w:rPr>
        <w:t>预算编制时考虑问题更加全面，预算编制更加完善、精确，进一步做到支出必有效，无效必问责</w:t>
      </w:r>
      <w:r>
        <w:rPr>
          <w:rFonts w:hint="eastAsia" w:ascii="仿宋_GB2312" w:eastAsia="仿宋_GB2312"/>
          <w:color w:val="auto"/>
          <w:sz w:val="32"/>
          <w:szCs w:val="32"/>
          <w:highlight w:val="none"/>
          <w:lang w:eastAsia="zh-CN"/>
        </w:rPr>
        <w:t>。发现的问题及原因：一是</w:t>
      </w:r>
      <w:r>
        <w:rPr>
          <w:rFonts w:ascii="仿宋_GB2312" w:eastAsia="仿宋_GB2312"/>
          <w:sz w:val="32"/>
          <w:szCs w:val="32"/>
        </w:rPr>
        <w:t>预算编制成本测算存在问题，担心下年有意外支出会在一定程度上夸大预算</w:t>
      </w:r>
      <w:r>
        <w:rPr>
          <w:rFonts w:hint="eastAsia" w:ascii="仿宋_GB2312" w:eastAsia="仿宋_GB2312"/>
          <w:color w:val="auto"/>
          <w:sz w:val="32"/>
          <w:szCs w:val="32"/>
          <w:highlight w:val="none"/>
          <w:lang w:eastAsia="zh-CN"/>
        </w:rPr>
        <w:t>；二是</w:t>
      </w:r>
      <w:r>
        <w:rPr>
          <w:rFonts w:ascii="仿宋_GB2312" w:eastAsia="仿宋_GB2312"/>
          <w:sz w:val="32"/>
          <w:szCs w:val="32"/>
        </w:rPr>
        <w:t>评价指标体系不完善，实际操作有困难</w:t>
      </w:r>
      <w:r>
        <w:rPr>
          <w:rFonts w:hint="eastAsia" w:ascii="仿宋_GB2312" w:eastAsia="仿宋_GB2312"/>
          <w:color w:val="auto"/>
          <w:sz w:val="32"/>
          <w:szCs w:val="32"/>
          <w:highlight w:val="none"/>
          <w:lang w:eastAsia="zh-CN"/>
        </w:rPr>
        <w:t>。下一步改进措施：一是</w:t>
      </w:r>
      <w:r>
        <w:rPr>
          <w:rFonts w:ascii="仿宋_GB2312" w:eastAsia="仿宋_GB2312"/>
          <w:sz w:val="32"/>
          <w:szCs w:val="32"/>
        </w:rPr>
        <w:t>继续提升预算绩效管理工作的深度和广度，加大对全局处室人员的预算绩效培训工作力度，同时加强与预算项目实施处室的沟通，确保预算执行安全有序完善评价指标体系</w:t>
      </w:r>
      <w:r>
        <w:rPr>
          <w:rFonts w:hint="eastAsia" w:ascii="仿宋_GB2312" w:eastAsia="仿宋_GB2312"/>
          <w:color w:val="auto"/>
          <w:sz w:val="32"/>
          <w:szCs w:val="32"/>
          <w:highlight w:val="none"/>
          <w:lang w:eastAsia="zh-CN"/>
        </w:rPr>
        <w:t>；二是</w:t>
      </w:r>
      <w:r>
        <w:rPr>
          <w:rFonts w:ascii="仿宋_GB2312" w:eastAsia="仿宋_GB2312"/>
          <w:sz w:val="32"/>
          <w:szCs w:val="32"/>
        </w:rPr>
        <w:t>加大对预算绩效管理工作的考核力度，建立处室绩效考核制度，提升各处室参与预算绩效工作的主动性</w:t>
      </w:r>
      <w:r>
        <w:rPr>
          <w:rFonts w:hint="eastAsia" w:ascii="仿宋_GB2312" w:eastAsia="仿宋_GB2312"/>
          <w:color w:val="auto"/>
          <w:sz w:val="32"/>
          <w:szCs w:val="32"/>
          <w:highlight w:val="none"/>
          <w:lang w:eastAsia="zh-CN"/>
        </w:rPr>
        <w:t>。具体</w:t>
      </w:r>
      <w:r>
        <w:rPr>
          <w:rFonts w:hint="eastAsia" w:ascii="仿宋_GB2312" w:eastAsia="仿宋_GB2312"/>
          <w:color w:val="auto"/>
          <w:sz w:val="32"/>
          <w:szCs w:val="32"/>
          <w:highlight w:val="none"/>
        </w:rPr>
        <w:t>项目自评情况附绩效自评表</w:t>
      </w:r>
      <w:r>
        <w:rPr>
          <w:rFonts w:hint="eastAsia" w:ascii="仿宋_GB2312" w:eastAsia="仿宋_GB2312"/>
          <w:color w:val="auto"/>
          <w:sz w:val="32"/>
          <w:szCs w:val="32"/>
          <w:highlight w:val="none"/>
          <w:lang w:val="en-US" w:eastAsia="zh-CN"/>
        </w:rPr>
        <w:t>及自评报告</w:t>
      </w:r>
      <w:r>
        <w:rPr>
          <w:rFonts w:hint="eastAsia" w:ascii="仿宋_GB2312" w:eastAsia="仿宋_GB2312"/>
          <w:color w:val="auto"/>
          <w:sz w:val="32"/>
          <w:szCs w:val="32"/>
          <w:highlight w:val="none"/>
        </w:rPr>
        <w:t>。</w:t>
      </w:r>
    </w:p>
    <w:p w14:paraId="62477797">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二</w:t>
      </w:r>
      <w:r>
        <w:rPr>
          <w:rFonts w:hint="eastAsia" w:ascii="黑体" w:hAnsi="黑体" w:eastAsia="黑体" w:cs="宋体"/>
          <w:bCs/>
          <w:color w:val="auto"/>
          <w:kern w:val="0"/>
          <w:sz w:val="32"/>
          <w:szCs w:val="32"/>
          <w:highlight w:val="none"/>
          <w:lang w:eastAsia="zh-CN"/>
        </w:rPr>
        <w:t>、其他需说明的事项</w:t>
      </w:r>
    </w:p>
    <w:p w14:paraId="69632099">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本单位无其他需说明事项。</w:t>
      </w:r>
    </w:p>
    <w:p w14:paraId="41FFBD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30" w:name="_Toc24143"/>
      <w:bookmarkStart w:id="31" w:name="_Toc3250"/>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 专业名词解释</w:t>
      </w:r>
      <w:bookmarkEnd w:id="30"/>
      <w:bookmarkEnd w:id="31"/>
    </w:p>
    <w:p w14:paraId="6748008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财政拨款收入：</w:t>
      </w:r>
      <w:r>
        <w:rPr>
          <w:rFonts w:hint="eastAsia" w:ascii="仿宋_GB2312" w:eastAsia="仿宋_GB2312"/>
          <w:color w:val="auto"/>
          <w:sz w:val="32"/>
          <w:szCs w:val="32"/>
          <w:highlight w:val="none"/>
        </w:rPr>
        <w:t>指同级财政当年拨付的资金。</w:t>
      </w:r>
    </w:p>
    <w:p w14:paraId="5D24423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上级补助收入：</w:t>
      </w:r>
      <w:r>
        <w:rPr>
          <w:rFonts w:hint="eastAsia" w:ascii="仿宋_GB2312" w:eastAsia="仿宋_GB2312"/>
          <w:color w:val="auto"/>
          <w:sz w:val="32"/>
          <w:szCs w:val="32"/>
          <w:highlight w:val="none"/>
        </w:rPr>
        <w:t>指事业单位从主管部门和上级单位取得的非财政补助收入。</w:t>
      </w:r>
    </w:p>
    <w:p w14:paraId="4D9B740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事业收入：</w:t>
      </w:r>
      <w:r>
        <w:rPr>
          <w:rFonts w:hint="eastAsia" w:ascii="仿宋_GB2312" w:eastAsia="仿宋_GB2312"/>
          <w:color w:val="auto"/>
          <w:sz w:val="32"/>
          <w:szCs w:val="32"/>
          <w:highlight w:val="none"/>
        </w:rPr>
        <w:t>指事业单位开展专业业务活动及其辅助活动所取得的收入。</w:t>
      </w:r>
    </w:p>
    <w:p w14:paraId="590F3C7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rPr>
        <w:t>经营收入：</w:t>
      </w:r>
      <w:r>
        <w:rPr>
          <w:rFonts w:hint="eastAsia" w:ascii="仿宋_GB2312" w:eastAsia="仿宋_GB2312"/>
          <w:color w:val="auto"/>
          <w:sz w:val="32"/>
          <w:szCs w:val="32"/>
          <w:highlight w:val="none"/>
        </w:rPr>
        <w:t>指事业单位在专业业务活动及其辅助活动之外开展非独立核算经营活动取得的收入。</w:t>
      </w:r>
    </w:p>
    <w:p w14:paraId="58E9ACB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rPr>
        <w:t>附属单位上缴收入：</w:t>
      </w:r>
      <w:r>
        <w:rPr>
          <w:rFonts w:hint="eastAsia" w:ascii="仿宋_GB2312" w:eastAsia="仿宋_GB2312"/>
          <w:color w:val="auto"/>
          <w:sz w:val="32"/>
          <w:szCs w:val="32"/>
          <w:highlight w:val="none"/>
        </w:rPr>
        <w:t>指事业单位附属的独立核算单位按有关规定上缴的收入。</w:t>
      </w:r>
    </w:p>
    <w:p w14:paraId="35E33FB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六、</w:t>
      </w:r>
      <w:r>
        <w:rPr>
          <w:rFonts w:hint="eastAsia" w:ascii="仿宋_GB2312" w:eastAsia="仿宋_GB2312"/>
          <w:b/>
          <w:bCs/>
          <w:color w:val="auto"/>
          <w:sz w:val="32"/>
          <w:szCs w:val="32"/>
          <w:highlight w:val="none"/>
        </w:rPr>
        <w:t>其他收入：</w:t>
      </w:r>
      <w:r>
        <w:rPr>
          <w:rFonts w:hint="eastAsia" w:ascii="仿宋_GB2312" w:eastAsia="仿宋_GB2312"/>
          <w:color w:val="auto"/>
          <w:sz w:val="32"/>
          <w:szCs w:val="32"/>
          <w:highlight w:val="none"/>
        </w:rPr>
        <w:t>指除上述“财政拨款收入”、“事业收入”、“经营收入”、“附属单位上缴收入”等之外取得的收入。</w:t>
      </w:r>
    </w:p>
    <w:p w14:paraId="33A347A5">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七、</w:t>
      </w:r>
      <w:r>
        <w:rPr>
          <w:rFonts w:hint="eastAsia" w:ascii="仿宋_GB2312" w:eastAsia="仿宋_GB2312"/>
          <w:b/>
          <w:bCs/>
          <w:color w:val="auto"/>
          <w:sz w:val="32"/>
          <w:szCs w:val="32"/>
          <w:highlight w:val="none"/>
          <w:lang w:eastAsia="zh-CN"/>
        </w:rPr>
        <w:t>年初</w:t>
      </w:r>
      <w:r>
        <w:rPr>
          <w:rFonts w:hint="eastAsia" w:ascii="仿宋_GB2312" w:eastAsia="仿宋_GB2312"/>
          <w:b/>
          <w:bCs/>
          <w:color w:val="auto"/>
          <w:sz w:val="32"/>
          <w:szCs w:val="32"/>
          <w:highlight w:val="none"/>
        </w:rPr>
        <w:t>结转和结余：</w:t>
      </w:r>
      <w:r>
        <w:rPr>
          <w:rFonts w:hint="eastAsia" w:ascii="仿宋_GB2312"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54DF0A6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年末结转和结余：</w:t>
      </w:r>
      <w:r>
        <w:rPr>
          <w:rFonts w:hint="eastAsia" w:ascii="仿宋_GB2312"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0C8FF9C">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基本支出：</w:t>
      </w:r>
      <w:r>
        <w:rPr>
          <w:rFonts w:hint="eastAsia" w:ascii="仿宋_GB2312" w:eastAsia="仿宋_GB2312"/>
          <w:color w:val="auto"/>
          <w:sz w:val="32"/>
          <w:szCs w:val="32"/>
          <w:highlight w:val="none"/>
        </w:rPr>
        <w:t>指为保障机构正常运转、完成日常工作任务而发生的人员支出和公用支出。</w:t>
      </w:r>
    </w:p>
    <w:p w14:paraId="4A4FBAC1">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项目支出：</w:t>
      </w:r>
      <w:r>
        <w:rPr>
          <w:rFonts w:hint="eastAsia" w:ascii="仿宋_GB2312" w:eastAsia="仿宋_GB2312"/>
          <w:color w:val="auto"/>
          <w:sz w:val="32"/>
          <w:szCs w:val="32"/>
          <w:highlight w:val="none"/>
        </w:rPr>
        <w:t>指在基本支出之外为完成特定行政任务和事业发展目标所发生的支出。</w:t>
      </w:r>
    </w:p>
    <w:p w14:paraId="25F73BB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十一、</w:t>
      </w:r>
      <w:r>
        <w:rPr>
          <w:rFonts w:hint="eastAsia" w:ascii="仿宋_GB2312" w:eastAsia="仿宋_GB2312"/>
          <w:b/>
          <w:bCs/>
          <w:color w:val="auto"/>
          <w:sz w:val="32"/>
          <w:szCs w:val="32"/>
          <w:highlight w:val="none"/>
        </w:rPr>
        <w:t>经营支出：</w:t>
      </w:r>
      <w:r>
        <w:rPr>
          <w:rFonts w:hint="eastAsia" w:ascii="仿宋_GB2312" w:eastAsia="仿宋_GB2312"/>
          <w:color w:val="auto"/>
          <w:sz w:val="32"/>
          <w:szCs w:val="32"/>
          <w:highlight w:val="none"/>
        </w:rPr>
        <w:t>指事业单位在专业业务活动及其辅助活动之外开展非独立核算经营活动发生的支出。</w:t>
      </w:r>
    </w:p>
    <w:p w14:paraId="0D3E2B0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对附属单位补助支出：</w:t>
      </w:r>
      <w:r>
        <w:rPr>
          <w:rFonts w:hint="eastAsia" w:ascii="仿宋_GB2312" w:eastAsia="仿宋_GB2312"/>
          <w:color w:val="auto"/>
          <w:sz w:val="32"/>
          <w:szCs w:val="32"/>
          <w:highlight w:val="none"/>
        </w:rPr>
        <w:t>指事业单位发生的用非财政预算资金对附属单位的补助支出。</w:t>
      </w:r>
    </w:p>
    <w:p w14:paraId="542FCAD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十三、</w:t>
      </w: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仿宋_GB2312" w:eastAsia="仿宋_GB2312"/>
          <w:color w:val="auto"/>
          <w:sz w:val="32"/>
          <w:szCs w:val="32"/>
          <w:highlight w:val="none"/>
          <w:lang w:eastAsia="zh-CN"/>
        </w:rPr>
        <w:t>国际旅费、国外城市间交通费、</w:t>
      </w:r>
      <w:r>
        <w:rPr>
          <w:rFonts w:hint="eastAsia" w:ascii="仿宋_GB2312" w:eastAsia="仿宋_GB2312"/>
          <w:color w:val="auto"/>
          <w:sz w:val="32"/>
          <w:szCs w:val="32"/>
          <w:highlight w:val="none"/>
        </w:rPr>
        <w:t>住宿费、伙食费、培训费、</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杂费等支出；公务用车购置费</w:t>
      </w:r>
      <w:r>
        <w:rPr>
          <w:rFonts w:hint="eastAsia" w:ascii="仿宋_GB2312" w:eastAsia="仿宋_GB2312"/>
          <w:color w:val="auto"/>
          <w:sz w:val="32"/>
          <w:szCs w:val="32"/>
          <w:highlight w:val="none"/>
          <w:lang w:eastAsia="zh-CN"/>
        </w:rPr>
        <w:t>反映公务用车购置支出（含车辆购置税、牌照费）；</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费反映</w:t>
      </w:r>
      <w:r>
        <w:rPr>
          <w:rFonts w:hint="eastAsia" w:ascii="仿宋_GB2312" w:eastAsia="仿宋_GB2312"/>
          <w:color w:val="auto"/>
          <w:sz w:val="32"/>
          <w:szCs w:val="32"/>
          <w:highlight w:val="none"/>
          <w:lang w:eastAsia="zh-CN"/>
        </w:rPr>
        <w:t>单位按规定保留的公务用车燃料费、维修费、</w:t>
      </w:r>
      <w:r>
        <w:rPr>
          <w:rFonts w:hint="eastAsia" w:ascii="仿宋_GB2312" w:eastAsia="仿宋_GB2312"/>
          <w:color w:val="auto"/>
          <w:sz w:val="32"/>
          <w:szCs w:val="32"/>
          <w:highlight w:val="none"/>
        </w:rPr>
        <w:t>过路过桥费、保险费、安全奖励费用等支出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公务接待费反映单位按规定开支的各类公务接待（含外宾接待）</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w:t>
      </w:r>
    </w:p>
    <w:p w14:paraId="13AB0C8D">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十四、</w:t>
      </w:r>
      <w:r>
        <w:rPr>
          <w:rFonts w:hint="eastAsia" w:ascii="仿宋_GB2312" w:eastAsia="仿宋_GB2312"/>
          <w:b/>
          <w:bCs/>
          <w:color w:val="auto"/>
          <w:sz w:val="32"/>
          <w:szCs w:val="32"/>
          <w:highlight w:val="none"/>
        </w:rPr>
        <w:t>机关运行经费：</w:t>
      </w:r>
      <w:r>
        <w:rPr>
          <w:rFonts w:hint="eastAsia" w:ascii="仿宋_GB2312" w:eastAsia="仿宋_GB2312"/>
          <w:color w:val="auto"/>
          <w:sz w:val="32"/>
          <w:szCs w:val="32"/>
          <w:highlight w:val="none"/>
        </w:rPr>
        <w:t>行政单位和参照公务员法管理的事业单位财政拨款基本支出中的公用经费支出。</w:t>
      </w:r>
    </w:p>
    <w:p w14:paraId="66A70C4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br w:type="page"/>
      </w:r>
      <w:r>
        <w:rPr>
          <w:rFonts w:hint="eastAsia" w:ascii="黑体" w:hAnsi="黑体" w:eastAsia="黑体"/>
          <w:color w:val="auto"/>
          <w:sz w:val="32"/>
          <w:szCs w:val="32"/>
          <w:highlight w:val="none"/>
        </w:rPr>
        <w:t>第四部分 部门决算报表（见附表）</w:t>
      </w:r>
    </w:p>
    <w:p w14:paraId="08C9704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2" w:name="_Toc2183"/>
      <w:bookmarkStart w:id="33" w:name="_Toc6062"/>
      <w:r>
        <w:rPr>
          <w:rFonts w:hint="eastAsia" w:ascii="黑体" w:hAnsi="黑体" w:eastAsia="仿宋_GB2312" w:cs="宋体"/>
          <w:bCs/>
          <w:color w:val="auto"/>
          <w:kern w:val="0"/>
          <w:sz w:val="32"/>
          <w:szCs w:val="32"/>
          <w:highlight w:val="none"/>
        </w:rPr>
        <w:t>一、《收入支出决算总表》</w:t>
      </w:r>
      <w:bookmarkEnd w:id="32"/>
      <w:bookmarkEnd w:id="33"/>
    </w:p>
    <w:p w14:paraId="768A423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4" w:name="_Toc24532"/>
      <w:bookmarkStart w:id="35" w:name="_Toc30364"/>
      <w:r>
        <w:rPr>
          <w:rFonts w:hint="eastAsia" w:ascii="黑体" w:hAnsi="黑体" w:eastAsia="仿宋_GB2312" w:cs="宋体"/>
          <w:bCs/>
          <w:color w:val="auto"/>
          <w:kern w:val="0"/>
          <w:sz w:val="32"/>
          <w:szCs w:val="32"/>
          <w:highlight w:val="none"/>
        </w:rPr>
        <w:t>二、《收入决算表》</w:t>
      </w:r>
      <w:bookmarkEnd w:id="34"/>
      <w:bookmarkEnd w:id="35"/>
    </w:p>
    <w:p w14:paraId="25F4ED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6" w:name="_Toc32434"/>
      <w:bookmarkStart w:id="37" w:name="_Toc21304"/>
      <w:r>
        <w:rPr>
          <w:rFonts w:hint="eastAsia" w:ascii="黑体" w:hAnsi="黑体" w:eastAsia="仿宋_GB2312" w:cs="宋体"/>
          <w:bCs/>
          <w:color w:val="auto"/>
          <w:kern w:val="0"/>
          <w:sz w:val="32"/>
          <w:szCs w:val="32"/>
          <w:highlight w:val="none"/>
        </w:rPr>
        <w:t>三、《支出决算表》</w:t>
      </w:r>
      <w:bookmarkEnd w:id="36"/>
      <w:bookmarkEnd w:id="37"/>
    </w:p>
    <w:p w14:paraId="3AB55C2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8" w:name="_Toc28786"/>
      <w:bookmarkStart w:id="39" w:name="_Toc14238"/>
      <w:r>
        <w:rPr>
          <w:rFonts w:hint="eastAsia" w:ascii="黑体" w:hAnsi="黑体" w:eastAsia="仿宋_GB2312" w:cs="宋体"/>
          <w:bCs/>
          <w:color w:val="auto"/>
          <w:kern w:val="0"/>
          <w:sz w:val="32"/>
          <w:szCs w:val="32"/>
          <w:highlight w:val="none"/>
        </w:rPr>
        <w:t>四、《财政拨款收入支出决算总表》</w:t>
      </w:r>
      <w:bookmarkEnd w:id="38"/>
      <w:bookmarkEnd w:id="39"/>
    </w:p>
    <w:p w14:paraId="716AAA0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0" w:name="_Toc14869"/>
      <w:bookmarkStart w:id="41" w:name="_Toc10347"/>
      <w:r>
        <w:rPr>
          <w:rFonts w:hint="eastAsia" w:ascii="黑体" w:hAnsi="黑体" w:eastAsia="仿宋_GB2312" w:cs="宋体"/>
          <w:bCs/>
          <w:color w:val="auto"/>
          <w:kern w:val="0"/>
          <w:sz w:val="32"/>
          <w:szCs w:val="32"/>
          <w:highlight w:val="none"/>
        </w:rPr>
        <w:t>五、《一般公共预算财政拨款支出决算表》</w:t>
      </w:r>
      <w:bookmarkEnd w:id="40"/>
      <w:bookmarkEnd w:id="41"/>
    </w:p>
    <w:p w14:paraId="6B36F12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2" w:name="_Toc5626"/>
      <w:bookmarkStart w:id="43" w:name="_Toc8884"/>
      <w:r>
        <w:rPr>
          <w:rFonts w:hint="eastAsia" w:ascii="黑体" w:hAnsi="黑体" w:eastAsia="仿宋_GB2312" w:cs="宋体"/>
          <w:bCs/>
          <w:color w:val="auto"/>
          <w:kern w:val="0"/>
          <w:sz w:val="32"/>
          <w:szCs w:val="32"/>
          <w:highlight w:val="none"/>
        </w:rPr>
        <w:t>六、《一般公共预算财政拨款基本支出决算表》</w:t>
      </w:r>
      <w:bookmarkEnd w:id="42"/>
      <w:bookmarkEnd w:id="43"/>
    </w:p>
    <w:p w14:paraId="33DD0E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rPr>
        <w:t>七、</w:t>
      </w:r>
      <w:bookmarkStart w:id="44" w:name="_Toc29106"/>
      <w:bookmarkStart w:id="45" w:name="_Toc32663"/>
      <w:r>
        <w:rPr>
          <w:rFonts w:hint="eastAsia" w:ascii="黑体" w:hAnsi="黑体" w:eastAsia="仿宋_GB2312" w:cs="宋体"/>
          <w:bCs/>
          <w:color w:val="auto"/>
          <w:kern w:val="0"/>
          <w:sz w:val="32"/>
          <w:szCs w:val="32"/>
          <w:highlight w:val="none"/>
        </w:rPr>
        <w:t>《财政拨款“三公”经费支出决算表》</w:t>
      </w:r>
      <w:bookmarkEnd w:id="44"/>
      <w:bookmarkEnd w:id="45"/>
    </w:p>
    <w:p w14:paraId="135CB64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6" w:name="_Toc7643"/>
      <w:bookmarkStart w:id="47" w:name="_Toc5453"/>
      <w:r>
        <w:rPr>
          <w:rFonts w:hint="eastAsia" w:ascii="黑体" w:hAnsi="黑体" w:eastAsia="仿宋_GB2312" w:cs="宋体"/>
          <w:bCs/>
          <w:color w:val="auto"/>
          <w:kern w:val="0"/>
          <w:sz w:val="32"/>
          <w:szCs w:val="32"/>
          <w:highlight w:val="none"/>
        </w:rPr>
        <w:t>八、《政府性基金预算财政拨款收入支出决算表》</w:t>
      </w:r>
      <w:bookmarkEnd w:id="46"/>
      <w:bookmarkEnd w:id="47"/>
    </w:p>
    <w:p w14:paraId="7AD3AE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lang w:val="en-US" w:eastAsia="zh-CN"/>
        </w:rPr>
        <w:t>九</w:t>
      </w:r>
      <w:r>
        <w:rPr>
          <w:rFonts w:hint="eastAsia" w:ascii="黑体" w:hAnsi="黑体" w:eastAsia="仿宋_GB2312" w:cs="宋体"/>
          <w:bCs/>
          <w:color w:val="auto"/>
          <w:kern w:val="0"/>
          <w:sz w:val="32"/>
          <w:szCs w:val="32"/>
          <w:highlight w:val="none"/>
        </w:rPr>
        <w:t>、《</w:t>
      </w:r>
      <w:r>
        <w:rPr>
          <w:rFonts w:hint="eastAsia" w:ascii="黑体" w:hAnsi="黑体" w:eastAsia="仿宋_GB2312" w:cs="宋体"/>
          <w:bCs/>
          <w:color w:val="auto"/>
          <w:kern w:val="0"/>
          <w:sz w:val="32"/>
          <w:szCs w:val="32"/>
          <w:highlight w:val="none"/>
          <w:lang w:eastAsia="zh-CN"/>
        </w:rPr>
        <w:t>国有资本经营</w:t>
      </w:r>
      <w:r>
        <w:rPr>
          <w:rFonts w:hint="eastAsia" w:ascii="黑体" w:hAnsi="黑体" w:eastAsia="仿宋_GB2312" w:cs="宋体"/>
          <w:bCs/>
          <w:color w:val="auto"/>
          <w:kern w:val="0"/>
          <w:sz w:val="32"/>
          <w:szCs w:val="32"/>
          <w:highlight w:val="none"/>
        </w:rPr>
        <w:t>预算财政拨款收入支出决算表》</w:t>
      </w:r>
    </w:p>
    <w:p w14:paraId="48D89990">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p>
    <w:p w14:paraId="6467C72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2CA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3E78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FD3E78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TA1NzI1MzkwNjY4MWJjMWFkM2VlYzZjYzg1ZWU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1CE68CA"/>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0717F8"/>
    <w:rsid w:val="32601BAD"/>
    <w:rsid w:val="329F6389"/>
    <w:rsid w:val="3389023A"/>
    <w:rsid w:val="33CB74FA"/>
    <w:rsid w:val="33FE6231"/>
    <w:rsid w:val="343642F2"/>
    <w:rsid w:val="343F3010"/>
    <w:rsid w:val="345D0A00"/>
    <w:rsid w:val="34713BFD"/>
    <w:rsid w:val="34C13589"/>
    <w:rsid w:val="353369E3"/>
    <w:rsid w:val="35E00D72"/>
    <w:rsid w:val="369151BC"/>
    <w:rsid w:val="36965B9D"/>
    <w:rsid w:val="36C549FD"/>
    <w:rsid w:val="37A755DD"/>
    <w:rsid w:val="37ED14F1"/>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DFF4DE5"/>
    <w:rsid w:val="3E2527BF"/>
    <w:rsid w:val="3E731662"/>
    <w:rsid w:val="3E8168DD"/>
    <w:rsid w:val="3EA7725F"/>
    <w:rsid w:val="3EB03713"/>
    <w:rsid w:val="3EBF1A11"/>
    <w:rsid w:val="3EC52607"/>
    <w:rsid w:val="3EEC6CEF"/>
    <w:rsid w:val="3F183429"/>
    <w:rsid w:val="3F7FDEC1"/>
    <w:rsid w:val="3FB75478"/>
    <w:rsid w:val="3FB77A1D"/>
    <w:rsid w:val="3FDC3674"/>
    <w:rsid w:val="3FED7F8A"/>
    <w:rsid w:val="3FEE2AC4"/>
    <w:rsid w:val="3FF7845F"/>
    <w:rsid w:val="40094AEF"/>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38321D"/>
    <w:rsid w:val="4D7D69F5"/>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C811C0"/>
    <w:rsid w:val="556A442D"/>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7F8013"/>
    <w:rsid w:val="5ED44800"/>
    <w:rsid w:val="5EFFCF03"/>
    <w:rsid w:val="5F350BDE"/>
    <w:rsid w:val="5F61632C"/>
    <w:rsid w:val="5F71D0EA"/>
    <w:rsid w:val="5FA17648"/>
    <w:rsid w:val="5FBB7468"/>
    <w:rsid w:val="5FDF6206"/>
    <w:rsid w:val="5FE705CB"/>
    <w:rsid w:val="5FF4B728"/>
    <w:rsid w:val="603D5080"/>
    <w:rsid w:val="60D0261B"/>
    <w:rsid w:val="618E3791"/>
    <w:rsid w:val="61947DCA"/>
    <w:rsid w:val="61A46A97"/>
    <w:rsid w:val="61D1382F"/>
    <w:rsid w:val="61F114A2"/>
    <w:rsid w:val="62512BB4"/>
    <w:rsid w:val="625D7D1A"/>
    <w:rsid w:val="62DD7D21"/>
    <w:rsid w:val="637D586B"/>
    <w:rsid w:val="63A5560B"/>
    <w:rsid w:val="63E9091F"/>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D798C"/>
    <w:rsid w:val="69D005C0"/>
    <w:rsid w:val="69D80B96"/>
    <w:rsid w:val="6B68175F"/>
    <w:rsid w:val="6BFD799F"/>
    <w:rsid w:val="6C4A2E5A"/>
    <w:rsid w:val="6C8138D0"/>
    <w:rsid w:val="6CEF0725"/>
    <w:rsid w:val="6D4B2604"/>
    <w:rsid w:val="6D6785ED"/>
    <w:rsid w:val="6D8030E4"/>
    <w:rsid w:val="6DEDB5D7"/>
    <w:rsid w:val="6E0E35C4"/>
    <w:rsid w:val="6E0F7A08"/>
    <w:rsid w:val="6E3947F5"/>
    <w:rsid w:val="6E9C74ED"/>
    <w:rsid w:val="6EF72976"/>
    <w:rsid w:val="6F795A80"/>
    <w:rsid w:val="6F7C1D2E"/>
    <w:rsid w:val="6F8E0407"/>
    <w:rsid w:val="6FBFC8BF"/>
    <w:rsid w:val="6FD5CCEC"/>
    <w:rsid w:val="6FDD069F"/>
    <w:rsid w:val="702B4D16"/>
    <w:rsid w:val="702C5623"/>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70719AC"/>
    <w:rsid w:val="774AADA7"/>
    <w:rsid w:val="776526CC"/>
    <w:rsid w:val="776FFDDA"/>
    <w:rsid w:val="77A262E1"/>
    <w:rsid w:val="77B13C33"/>
    <w:rsid w:val="77ED6F44"/>
    <w:rsid w:val="77F45548"/>
    <w:rsid w:val="784E7CA6"/>
    <w:rsid w:val="78574801"/>
    <w:rsid w:val="7873527F"/>
    <w:rsid w:val="78E61479"/>
    <w:rsid w:val="78FD52CD"/>
    <w:rsid w:val="790A6425"/>
    <w:rsid w:val="790E2D96"/>
    <w:rsid w:val="791B54B2"/>
    <w:rsid w:val="795A0A34"/>
    <w:rsid w:val="797339C3"/>
    <w:rsid w:val="79D57D57"/>
    <w:rsid w:val="79F00650"/>
    <w:rsid w:val="7A6242BF"/>
    <w:rsid w:val="7A794513"/>
    <w:rsid w:val="7AE952D2"/>
    <w:rsid w:val="7BF9AEAB"/>
    <w:rsid w:val="7BFF0622"/>
    <w:rsid w:val="7C131926"/>
    <w:rsid w:val="7C976D69"/>
    <w:rsid w:val="7CD752DA"/>
    <w:rsid w:val="7CDE40AB"/>
    <w:rsid w:val="7CF057E2"/>
    <w:rsid w:val="7CFF61BE"/>
    <w:rsid w:val="7D1548B5"/>
    <w:rsid w:val="7DF84014"/>
    <w:rsid w:val="7E207949"/>
    <w:rsid w:val="7E5C0A47"/>
    <w:rsid w:val="7E670C75"/>
    <w:rsid w:val="7ECF5848"/>
    <w:rsid w:val="7EE24272"/>
    <w:rsid w:val="7EEA6053"/>
    <w:rsid w:val="7EF54331"/>
    <w:rsid w:val="7F487C04"/>
    <w:rsid w:val="7FB45F21"/>
    <w:rsid w:val="7FE57088"/>
    <w:rsid w:val="7FF37FA3"/>
    <w:rsid w:val="7FF5B524"/>
    <w:rsid w:val="7FF66288"/>
    <w:rsid w:val="7FFF40F5"/>
    <w:rsid w:val="96979922"/>
    <w:rsid w:val="AAF75CD6"/>
    <w:rsid w:val="AB6EFD3F"/>
    <w:rsid w:val="AEE6816B"/>
    <w:rsid w:val="B7FE8AA4"/>
    <w:rsid w:val="BB77B158"/>
    <w:rsid w:val="BBFC5CE8"/>
    <w:rsid w:val="BFBE6A8B"/>
    <w:rsid w:val="BFF1D151"/>
    <w:rsid w:val="CBDF812B"/>
    <w:rsid w:val="CFFD9EB0"/>
    <w:rsid w:val="D1BF3C11"/>
    <w:rsid w:val="D67B4044"/>
    <w:rsid w:val="DACD3233"/>
    <w:rsid w:val="DFAD22A6"/>
    <w:rsid w:val="DFEF8D64"/>
    <w:rsid w:val="EFFD0219"/>
    <w:rsid w:val="F7F76608"/>
    <w:rsid w:val="F7FF241A"/>
    <w:rsid w:val="F9FF1147"/>
    <w:rsid w:val="FAACE63D"/>
    <w:rsid w:val="FADFCDFA"/>
    <w:rsid w:val="FBF74B2F"/>
    <w:rsid w:val="FBFE67C8"/>
    <w:rsid w:val="FCFAF5D0"/>
    <w:rsid w:val="FEFE2C7D"/>
    <w:rsid w:val="FF1EAB60"/>
    <w:rsid w:val="FF5E38CD"/>
    <w:rsid w:val="FF7AB84D"/>
    <w:rsid w:val="FFDB3B97"/>
    <w:rsid w:val="FFFFC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5825</Words>
  <Characters>6562</Characters>
  <Lines>0</Lines>
  <Paragraphs>0</Paragraphs>
  <TotalTime>0</TotalTime>
  <ScaleCrop>false</ScaleCrop>
  <LinksUpToDate>false</LinksUpToDate>
  <CharactersWithSpaces>6580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GXR</dc:creator>
  <cp:lastModifiedBy>李小白</cp:lastModifiedBy>
  <dcterms:modified xsi:type="dcterms:W3CDTF">2024-10-15T09:53:06Z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D624B15633CD43C8BF9435464A96BF70</vt:lpwstr>
  </property>
</Properties>
</file>